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_rels/chart2.xml.rels" ContentType="application/vnd.openxmlformats-package.relationships+xml"/>
  <Override PartName="/word/charts/chart4.xml" ContentType="application/vnd.openxmlformats-officedocument.drawingml.chart+xml"/>
  <Override PartName="/word/embeddings/_____Microsoft_Excel.xlsx" ContentType="application/vnd.openxmlformats-officedocument.spreadsheetml.sheet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ГОДОВОЙ ОТЧЕТ</w:t>
      </w:r>
    </w:p>
    <w:p>
      <w:pPr>
        <w:pStyle w:val="Normal"/>
        <w:spacing w:lineRule="auto" w:line="240" w:before="0" w:after="0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дератизации</w:t>
      </w:r>
    </w:p>
    <w:p>
      <w:pPr>
        <w:pStyle w:val="Normal"/>
        <w:spacing w:lineRule="auto" w:line="240" w:before="0" w:after="0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ООО «ПензаМолИнвест» за 2022 год</w:t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Отчетный период</w:t>
      </w:r>
      <w:r>
        <w:rPr>
          <w:rFonts w:cs="Times New Roman" w:ascii="Times New Roman" w:hAnsi="Times New Roman"/>
          <w:sz w:val="24"/>
          <w:szCs w:val="24"/>
        </w:rPr>
        <w:t>: 01.01.2022 -31.12.2022 гг.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Объект</w:t>
      </w:r>
      <w:r>
        <w:rPr>
          <w:rFonts w:cs="Times New Roman" w:ascii="Times New Roman" w:hAnsi="Times New Roman"/>
          <w:sz w:val="24"/>
          <w:szCs w:val="24"/>
        </w:rPr>
        <w:t>: ОСП «Завод по убою и переработке индейки».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эффективность проведения дератизационных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Основные требования к объекту проверки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ГОСТ Р 54762-2011/</w:t>
      </w:r>
      <w:r>
        <w:rPr>
          <w:rFonts w:cs="Times New Roman" w:ascii="Times New Roman" w:hAnsi="Times New Roman"/>
          <w:sz w:val="24"/>
          <w:szCs w:val="24"/>
          <w:lang w:val="en-US"/>
        </w:rPr>
        <w:t>ISO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TS</w:t>
      </w:r>
      <w:r>
        <w:rPr>
          <w:rFonts w:cs="Times New Roman" w:ascii="Times New Roman" w:hAnsi="Times New Roman"/>
          <w:sz w:val="24"/>
          <w:szCs w:val="24"/>
        </w:rPr>
        <w:t xml:space="preserve"> 22001-1:2009 «Программы предварительных требований по безопасности пищевой продукции. Часть 1. Производство пищевой продукции», а именно п. 12;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СанПиН 3.3686-21 «Санитарно-эпидемиологические требования по профилактике инфекционных заболеваний».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ОСП «Завод по убою и переработке индейки» организована трехбарьерная система защиты от синантропных грызунов.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3 контур защиты (КИУ №1-133).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Признаки присутствия грызунов:</w:t>
      </w:r>
      <w:r>
        <w:rPr>
          <w:rFonts w:cs="Times New Roman" w:ascii="Times New Roman" w:hAnsi="Times New Roman"/>
          <w:sz w:val="24"/>
          <w:szCs w:val="24"/>
        </w:rPr>
        <w:t xml:space="preserve"> За рассматриваемый период погрызы отсутствуют.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Проведенная коррекция: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требовалась.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Проведенные корректирующие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Не требовались.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905500" cy="34099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Средняя эффективность защиты контура равна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Наличие повреждений КИУ при осмотре:</w:t>
      </w:r>
    </w:p>
    <w:tbl>
      <w:tblPr>
        <w:tblW w:w="9634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6"/>
        <w:gridCol w:w="452"/>
        <w:gridCol w:w="452"/>
        <w:gridCol w:w="451"/>
        <w:gridCol w:w="452"/>
        <w:gridCol w:w="452"/>
        <w:gridCol w:w="452"/>
        <w:gridCol w:w="453"/>
        <w:gridCol w:w="452"/>
        <w:gridCol w:w="451"/>
        <w:gridCol w:w="452"/>
        <w:gridCol w:w="452"/>
        <w:gridCol w:w="452"/>
        <w:gridCol w:w="3694"/>
      </w:tblGrid>
      <w:tr>
        <w:trPr>
          <w:trHeight w:val="1134" w:hRule="exact"/>
          <w:cantSplit w:val="tru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Номер КИУ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6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а зоне отгрузки отходов (ворота отгрузки).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двери при входе в АБК условно-чистой зоны (раздевала участка упаковки (старый завод)).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(старый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запасной двери (в коридоре при передвижении  отгрузочной эстакады (старый завод) на отгрузочную эстакаду (новый завод)).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запасной двери (в коридоре при передвижении  отгрузочной эстакады (старый завод) на отгрузочную эстакаду (новый завод)).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 коридоре при передвижении  отгрузочной эстакады (старый завод) на отгрузочную эстакаду (новый завод)).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 коридоре при передвижении  отгрузочной эстакады (старый завод) на отгрузочную эстакаду (новый завод)).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ворот отгрузочной эстакады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возле отгрузочных ворот в прачечной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на складе хранения таро-упаковочных материалов.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на складе хранения таро-упаковочных материалов.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Примечание: «х» - повреждение КИУ при осмотре.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результатам анализа выше представленной таблицы, повреждение КИУ наблюдается в местах интенсивного движения транспортных средств, средств перемещения грузов вручную и технических/административных помещений с большой проходимостью людей.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Проведенная коррекция: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Замена КИУ.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Закрепление КИУ к половому покрытию / стеновым панелям при помощи качественных материалов.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Проведенные корректирующие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Изменение местоположения КИУ, в случае если она располагалась по пути движения транспортных средств/ ручных средств перемещения грузов.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Создание защитных ограждений.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Отсутствие КИУ при осмотре:</w:t>
      </w:r>
      <w:r>
        <w:rPr>
          <w:rFonts w:cs="Times New Roman" w:ascii="Times New Roman" w:hAnsi="Times New Roman"/>
          <w:sz w:val="24"/>
          <w:szCs w:val="24"/>
        </w:rPr>
        <w:t xml:space="preserve"> За отчетный период данное нарушение не выявлено.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Отсутствие доступа к КИУ при осмотре: </w:t>
      </w:r>
      <w:r>
        <w:rPr>
          <w:rFonts w:cs="Times New Roman" w:ascii="Times New Roman" w:hAnsi="Times New Roman"/>
          <w:sz w:val="24"/>
          <w:szCs w:val="24"/>
        </w:rPr>
        <w:t>За отчетный период данное нарушение не выявлено.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2 контур защиты (КИУ №1-197).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Признаки присутствия грызунов: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4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452"/>
        <w:gridCol w:w="541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3560"/>
      </w:tblGrid>
      <w:tr>
        <w:trPr>
          <w:trHeight w:val="1134" w:hRule="exact"/>
          <w:cantSplit w:val="tru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Номер КИУ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9C000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здания (новый завод), стена центрального входа.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9C000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9C000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Примечание: «х» - наблюдались единичные погрызы при осмотре.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результатам анализа выше представленной таблицы, наблюдается единичное присутствие грызунов на втором контуре защиты.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Проведенная коррекция: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Увеличение объема закладки ядовой приманки.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Проведенные корректирующие мероприятия: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барьерной дератизации в период миграционной активности синантропных грызунов.</w:t>
      </w:r>
    </w:p>
    <w:p>
      <w:pPr>
        <w:pStyle w:val="ListParagraph"/>
        <w:spacing w:lineRule="auto" w:line="240" w:before="0" w:after="0"/>
        <w:ind w:left="10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905500" cy="332422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Среднее значение эффективности защиты второго контура защиты за отчетный период 99,87%.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Снижение эффективности наблюдается в период активной миграции синантропных грызунов. Необходимо отметить, сохранение высокой тенденции эффективности защиты в отчетном периоде за счет своевременного выполнения предупреждающих действий со стороны сотрудников ООО «Альфадез».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Наличие повреждений КИУ при осмотре: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351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6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3414"/>
      </w:tblGrid>
      <w:tr>
        <w:trPr>
          <w:tblHeader w:val="true"/>
          <w:trHeight w:val="1134" w:hRule="exact"/>
          <w:cantSplit w:val="tru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Номер КИУ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располагаются по периметру АБК цеха убоя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здания участка приема живой птицы цеха убоя  (новый  завод)(по пути движения транспортных средств).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по периметру АБК персонала аммиачной компрессорной.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по периметру  участка прима живой птицы цеха убоя (старый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располагается по периметру АБК ООО «Новые фермы» (новый завод).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КИУ располагаются по периметру ЛОС.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Примечание: «х» - наблюдались повреждения  КИУ при осмотре.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результатам анализа выше представленной таблицы, повреждение КИУ наблюдается в местах движения транспортных средств и технических/административных помещений с большой проходимостью людей.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Проведенная коррекция: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Замена КИУ.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Закрепление КИУ к половому покрытию / стеновым панелям при помощи качественных материалов.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Проведенные корректирующие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Изменение местоположения КИУ, в случае если она располагалась по пути движения транспортных средств/ ручных средств перемещения грузов.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Создание защитных ограждений.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Отсутствие КИУ при осмотре:</w:t>
      </w:r>
      <w:r>
        <w:rPr>
          <w:rFonts w:cs="Times New Roman" w:ascii="Times New Roman" w:hAnsi="Times New Roman"/>
          <w:sz w:val="24"/>
          <w:szCs w:val="24"/>
        </w:rPr>
        <w:t xml:space="preserve"> За отчетный период данное нарушение не выявлено.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Отсутствие доступа к КИУ при осмотре: </w:t>
      </w:r>
      <w:r>
        <w:rPr>
          <w:rFonts w:cs="Times New Roman" w:ascii="Times New Roman" w:hAnsi="Times New Roman"/>
          <w:sz w:val="24"/>
          <w:szCs w:val="24"/>
        </w:rPr>
        <w:t>За отчетный период данное нарушение не выявлено.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 контур защиты (КИУ №1-85).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Признаки присутствия грызунов: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1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1"/>
        <w:gridCol w:w="3227"/>
      </w:tblGrid>
      <w:tr>
        <w:trPr>
          <w:tblHeader w:val="true"/>
          <w:trHeight w:val="1134" w:hRule="exact"/>
          <w:cantSplit w:val="true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Номер КИУ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юго-западной стороны ограждения.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северо-западной стороны ограждения.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северо-восточной стороны ограждения.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юго-восточной стороны ограждения.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Примечание: «х» - наблюдались единичные погрызы при осмотре.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результатам анализа выше представленной таблицы, наблюдается единичное присутствие грызунов на первом контуре защиты.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Проведенная коррекция: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Увеличение объема закладки ядовой приманки.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Проведенные корректирующие мероприятия: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барьерной дератизации в период миграционной активности синантропных грызунов.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905500" cy="332422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Среднее значение эффективности защиты первого контура за отчетный период 97,75%.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Снижение эффективности наблюдается в период активной миграции синантропных грызунов.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Необходимо отметить, сохранение высокой тенденции эффективности защиты в отчетном периоде за счет своевременного выполнения предупреждающих действий со стороны сотрудников ООО «Альфадез».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Наличие повреждений КИУ при осмотре: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1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7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452"/>
        <w:gridCol w:w="3373"/>
      </w:tblGrid>
      <w:tr>
        <w:trPr>
          <w:tblHeader w:val="true"/>
          <w:trHeight w:val="1134" w:hRule="exact"/>
          <w:cantSplit w:val="true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Номер КИУ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3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северо-западной стороны ограждения.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КИУ располагаются по периметру северо-восточной стороны ограждения.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6EF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6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61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Примечание: «х» - наблюдались повреждения КИУ при осмотре.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результатам анализа выше представленной таблицы, повреждение КИУ наблюдается в местах движения транспортных средств и персонала.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Проведенная коррекция: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Замена КИУ.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Закрепление КИУ к половому покрытию / стеновым панелям при помощи качественных материалов.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Проведенные корректирующие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Изменение местоположения КИУ, в случае если она располагалась по пути движения транспортных средств/ ручных средств перемещения грузов.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Создание защитных ограждений.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Отсутствие КИУ при осмотре:</w:t>
      </w:r>
      <w:r>
        <w:rPr>
          <w:rFonts w:cs="Times New Roman" w:ascii="Times New Roman" w:hAnsi="Times New Roman"/>
          <w:sz w:val="24"/>
          <w:szCs w:val="24"/>
        </w:rPr>
        <w:t xml:space="preserve"> За отчетный период данное нарушение не выявлено.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Отсутствие доступа к КИУ при осмотре: </w:t>
      </w:r>
      <w:r>
        <w:rPr>
          <w:rFonts w:cs="Times New Roman" w:ascii="Times New Roman" w:hAnsi="Times New Roman"/>
          <w:sz w:val="24"/>
          <w:szCs w:val="24"/>
        </w:rPr>
        <w:t>За отчетный период данное нарушение не выявлено.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u w:val="single"/>
        </w:rPr>
        <w:t>Общие выводы и рекомендации к улучшению: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Общая эффективность защиты объекта исследования: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905500" cy="332422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Среднее значение эффективности защиты объекта 99,21%.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проведенного анализа в течение 2022 года четко наблюдется сохранение высокой тенденции эффективности дератизации на объекте исследования. Снижение эффективности наблюдается в период активной миграции синантропных грызунов. Необходимо отметить, что в периоды активной миграции синантропных грызунов на объекте была проведена плановая барьерная дератизация (апрель 2022 г., октябрь 2022 г.).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Предлагаемые предупреждающие мероприятия в целях улучшения качества дератизационных мероприятий: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Совершенствование механизма незамедлительного оповещения сотрудников ООО «Альфадез» о неисправностях КИУ/следах жизнедеятельности грызунов.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Планирование проведения барьерной дератизации в периоды миграции синантропных грызунов.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Генеральный директор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«Альфадез»</w:t>
        <w:tab/>
        <w:tab/>
        <w:tab/>
        <w:tab/>
        <w:tab/>
        <w:tab/>
        <w:tab/>
        <w:tab/>
        <w:t>Супрунова Ю.В.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МП</w:t>
      </w:r>
    </w:p>
    <w:sectPr>
      <w:headerReference w:type="defaul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95" w:type="dxa"/>
      <w:jc w:val="left"/>
      <w:tblInd w:w="-14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2098"/>
      <w:gridCol w:w="1985"/>
      <w:gridCol w:w="4112"/>
      <w:gridCol w:w="1699"/>
    </w:tblGrid>
    <w:tr>
      <w:trPr>
        <w:tblHeader w:val="true"/>
        <w:trHeight w:val="415" w:hRule="atLeast"/>
      </w:trPr>
      <w:tc>
        <w:tcPr>
          <w:tcW w:w="4083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bCs/>
              <w:color w:val="000000"/>
              <w:sz w:val="20"/>
              <w:szCs w:val="20"/>
              <w:lang w:eastAsia="ru-RU"/>
            </w:rPr>
            <w:t>ООО Альфадез</w:t>
          </w:r>
        </w:p>
      </w:tc>
      <w:tc>
        <w:tcPr>
          <w:tcW w:w="4112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bCs/>
              <w:color w:val="000000"/>
              <w:sz w:val="20"/>
              <w:szCs w:val="20"/>
              <w:lang w:eastAsia="ru-RU"/>
            </w:rPr>
            <w:t>Годовой отчет по дератизации</w:t>
          </w:r>
        </w:p>
      </w:tc>
      <w:tc>
        <w:tcPr>
          <w:tcW w:w="1699" w:type="dxa"/>
          <w:tcBorders>
            <w:top w:val="single" w:sz="4" w:space="0" w:color="00000A"/>
            <w:right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t xml:space="preserve">Страница </w:t>
          </w: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t xml:space="preserve"> из </w:t>
          </w: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  <w:tr>
      <w:trPr>
        <w:tblHeader w:val="true"/>
        <w:trHeight w:val="255" w:hRule="atLeast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Контактный телефон</w:t>
          </w:r>
        </w:p>
      </w:tc>
      <w:tc>
        <w:tcPr>
          <w:tcW w:w="198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89379676209</w:t>
          </w:r>
        </w:p>
      </w:tc>
      <w:tc>
        <w:tcPr>
          <w:tcW w:w="4112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ОКВЭД 81.29.1 Деятельность по проведению дезинфекционных, дезинсекционных и дератизационных работ</w:t>
          </w:r>
        </w:p>
      </w:tc>
      <w:tc>
        <w:tcPr>
          <w:tcW w:w="1699" w:type="dxa"/>
          <w:vMerge w:val="restart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</w:tr>
    <w:tr>
      <w:trPr>
        <w:tblHeader w:val="true"/>
        <w:trHeight w:val="70" w:hRule="atLeast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Электронная почта</w:t>
          </w:r>
        </w:p>
      </w:tc>
      <w:tc>
        <w:tcPr>
          <w:tcW w:w="198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hyperlink r:id="rId1"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adez2012@yandex.ru</w:t>
            </w:r>
          </w:hyperlink>
        </w:p>
      </w:tc>
      <w:tc>
        <w:tcPr>
          <w:tcW w:w="4112" w:type="dxa"/>
          <w:vMerge w:val="continue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  <w:tc>
        <w:tcPr>
          <w:tcW w:w="1699" w:type="dxa"/>
          <w:vMerge w:val="continue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</w:tr>
    <w:tr>
      <w:trPr>
        <w:tblHeader w:val="true"/>
        <w:trHeight w:val="202" w:hRule="atLeast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Наименование объекта исследования</w:t>
          </w:r>
        </w:p>
      </w:tc>
      <w:tc>
        <w:tcPr>
          <w:tcW w:w="198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ОСП ЗУПИ</w:t>
          </w:r>
        </w:p>
      </w:tc>
      <w:tc>
        <w:tcPr>
          <w:tcW w:w="4112" w:type="dxa"/>
          <w:vMerge w:val="continue"/>
          <w:tc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  <w:tc>
        <w:tcPr>
          <w:tcW w:w="1699" w:type="dxa"/>
          <w:vMerge w:val="continue"/>
          <w:tc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d3c7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d3c79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f1e52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semiHidden/>
    <w:unhideWhenUsed/>
    <w:rsid w:val="00f929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929d7"/>
    <w:rPr>
      <w:color w:val="954F72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5"/>
    <w:uiPriority w:val="99"/>
    <w:unhideWhenUsed/>
    <w:rsid w:val="00fd3c7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fd3c7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643e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5f1e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Msonormal" w:customStyle="1">
    <w:name w:val="msonormal"/>
    <w:basedOn w:val="Normal"/>
    <w:qFormat/>
    <w:rsid w:val="00f929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f929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66184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46f6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6EFCE"/>
      <w:spacing w:lineRule="auto" w:line="240" w:beforeAutospacing="1" w:afterAutospacing="1"/>
    </w:pPr>
    <w:rPr>
      <w:rFonts w:ascii="Times New Roman" w:hAnsi="Times New Roman" w:eastAsia="Times New Roman" w:cs="Times New Roman"/>
      <w:color w:val="0061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3b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adez2012@yandex.ru" TargetMode="External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Эффективность дератизации
III  контур защиты
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100% 100% 100% 100% 100% 100% 100% 100% 100% 100% 100% 100%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gapWidth val="150"/>
        <c:overlap val="-25"/>
        <c:axId val="76245013"/>
        <c:axId val="19335865"/>
      </c:barChart>
      <c:catAx>
        <c:axId val="7624501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1260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19335865"/>
        <c:crosses val="autoZero"/>
        <c:auto val="1"/>
        <c:lblAlgn val="ctr"/>
        <c:lblOffset val="100"/>
      </c:catAx>
      <c:valAx>
        <c:axId val="19335865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76245013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Эффективность дератизации
II  контур защиты
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Эффек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0.984771573604061</c:v>
                </c:pt>
                <c:pt idx="11">
                  <c:v>1</c:v>
                </c:pt>
              </c:numCache>
            </c:numRef>
          </c:val>
        </c:ser>
        <c:gapWidth val="150"/>
        <c:overlap val="-25"/>
        <c:axId val="75436719"/>
        <c:axId val="83351653"/>
      </c:barChart>
      <c:catAx>
        <c:axId val="75436719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1260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83351653"/>
        <c:crosses val="autoZero"/>
        <c:auto val="1"/>
        <c:lblAlgn val="ctr"/>
        <c:lblOffset val="100"/>
      </c:catAx>
      <c:valAx>
        <c:axId val="83351653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75436719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Эффективность дератизации
I  контур защиты
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Эффек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0.952941176470588</c:v>
                </c:pt>
                <c:pt idx="6">
                  <c:v>1</c:v>
                </c:pt>
                <c:pt idx="7">
                  <c:v>0.964705882352941</c:v>
                </c:pt>
                <c:pt idx="8">
                  <c:v>0.952941176470588</c:v>
                </c:pt>
                <c:pt idx="9">
                  <c:v>0.905882352941176</c:v>
                </c:pt>
                <c:pt idx="10">
                  <c:v>0.952941176470588</c:v>
                </c:pt>
                <c:pt idx="11">
                  <c:v>1</c:v>
                </c:pt>
              </c:numCache>
            </c:numRef>
          </c:val>
        </c:ser>
        <c:gapWidth val="150"/>
        <c:overlap val="-25"/>
        <c:axId val="55136486"/>
        <c:axId val="39835377"/>
      </c:barChart>
      <c:catAx>
        <c:axId val="55136486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1260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39835377"/>
        <c:crosses val="autoZero"/>
        <c:auto val="1"/>
        <c:lblAlgn val="ctr"/>
        <c:lblOffset val="100"/>
      </c:catAx>
      <c:valAx>
        <c:axId val="39835377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5136486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1" sz="16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Общая эффективность дератизации в 2022 году
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Общая эффективность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trendline>
            <c:spPr>
              <a:ln w="19080">
                <a:solidFill>
                  <a:srgbClr val="1f4e79"/>
                </a:solidFill>
                <a:round/>
              </a:ln>
            </c:spPr>
            <c:trendlineType val="movingAvg"/>
            <c:period val="2"/>
            <c:forward val="0"/>
            <c:backward val="0"/>
            <c:dispRSqr val="0"/>
            <c:dispEq val="0"/>
          </c:trendline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0.984313725490196</c:v>
                </c:pt>
                <c:pt idx="6">
                  <c:v>1</c:v>
                </c:pt>
                <c:pt idx="7">
                  <c:v>0.988235294117647</c:v>
                </c:pt>
                <c:pt idx="8">
                  <c:v>0.984313725490196</c:v>
                </c:pt>
                <c:pt idx="9">
                  <c:v>0.968627450980392</c:v>
                </c:pt>
                <c:pt idx="10">
                  <c:v>0.979237583358216</c:v>
                </c:pt>
                <c:pt idx="11">
                  <c:v>1</c:v>
                </c:pt>
              </c:numCache>
            </c:numRef>
          </c:val>
        </c:ser>
        <c:gapWidth val="150"/>
        <c:overlap val="-25"/>
        <c:axId val="43391138"/>
        <c:axId val="88030986"/>
      </c:barChart>
      <c:catAx>
        <c:axId val="43391138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1260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88030986"/>
        <c:crosses val="autoZero"/>
        <c:auto val="1"/>
        <c:lblAlgn val="ctr"/>
        <c:lblOffset val="100"/>
      </c:catAx>
      <c:valAx>
        <c:axId val="88030986"/>
        <c:scaling>
          <c:orientation val="minMax"/>
        </c:scaling>
        <c:delete val="1"/>
        <c:axPos val="l"/>
        <c:numFmt formatCode="0.00%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43391138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4472c4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7FC0-BF8E-4BE2-9E7A-D1C806B5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1598</Words>
  <CharactersWithSpaces>9110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2023-01-12T18:54:00Z</dcterms:created>
  <dc:creator>User</dc:creator>
  <dc:description/>
  <dc:language>ru-RU</dc:language>
  <cp:lastModifiedBy>1</cp:lastModifiedBy>
  <cp:lastPrinted>2023-01-12T18:54:00Z</cp:lastPrinted>
  <dcterms:modified xsi:type="dcterms:W3CDTF">2023-01-12T18:55:00Z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