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0" allowOverlap="1" relativeHeight="20">
                <wp:simplePos x="0" y="0"/>
                <wp:positionH relativeFrom="column">
                  <wp:posOffset>-441960</wp:posOffset>
                </wp:positionH>
                <wp:positionV relativeFrom="paragraph">
                  <wp:posOffset>-253365</wp:posOffset>
                </wp:positionV>
                <wp:extent cx="2599690" cy="810895"/>
                <wp:effectExtent l="0" t="0" r="0" b="0"/>
                <wp:wrapNone/>
                <wp:docPr id="1" name="Врезка1"/>
                <a:graphic xmlns:a="http://schemas.openxmlformats.org/drawingml/2006/main">
                  <a:graphicData uri="http://schemas.microsoft.com/office/word/2010/wordprocessingShape">
                    <wps:wsp>
                      <wps:cNvSpPr/>
                      <wps:spPr>
                        <a:xfrm>
                          <a:off x="0" y="0"/>
                          <a:ext cx="2599200" cy="810360"/>
                        </a:xfrm>
                        <a:prstGeom prst="rect">
                          <a:avLst/>
                        </a:prstGeom>
                        <a:solidFill>
                          <a:srgbClr val="ffffff"/>
                        </a:solidFill>
                        <a:ln w="0">
                          <a:noFill/>
                        </a:ln>
                      </wps:spPr>
                      <wps:style>
                        <a:lnRef idx="0"/>
                        <a:fillRef idx="0"/>
                        <a:effectRef idx="0"/>
                        <a:fontRef idx="minor"/>
                      </wps:style>
                      <wps:txb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path="m0,0l-2147483645,0l-2147483645,-2147483646l0,-2147483646xe" fillcolor="white" stroked="f" style="position:absolute;margin-left:-34.8pt;margin-top:-19.95pt;width:204.6pt;height:63.75pt;mso-wrap-style:square;v-text-anchor:top">
                <v:fill o:detectmouseclick="t" type="solid" color2="black"/>
                <v:stroke color="#3465a4" joinstyle="round" endcap="flat"/>
                <v:textbo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v:textbox>
                <w10:wrap type="none"/>
              </v:rect>
            </w:pict>
          </mc:Fallback>
        </mc:AlternateContent>
        <mc:AlternateContent>
          <mc:Choice Requires="wps">
            <w:drawing>
              <wp:anchor behindDoc="0" distT="0" distB="0" distL="0" distR="0" simplePos="0" locked="0" layoutInCell="0" allowOverlap="1" relativeHeight="22">
                <wp:simplePos x="0" y="0"/>
                <wp:positionH relativeFrom="column">
                  <wp:posOffset>3557270</wp:posOffset>
                </wp:positionH>
                <wp:positionV relativeFrom="paragraph">
                  <wp:posOffset>-233045</wp:posOffset>
                </wp:positionV>
                <wp:extent cx="2762885" cy="620395"/>
                <wp:effectExtent l="0" t="0" r="0" b="0"/>
                <wp:wrapNone/>
                <wp:docPr id="3" name="Врезка2"/>
                <a:graphic xmlns:a="http://schemas.openxmlformats.org/drawingml/2006/main">
                  <a:graphicData uri="http://schemas.microsoft.com/office/word/2010/wordprocessingShape">
                    <wps:wsp>
                      <wps:cNvSpPr/>
                      <wps:spPr>
                        <a:xfrm>
                          <a:off x="0" y="0"/>
                          <a:ext cx="2762280" cy="619920"/>
                        </a:xfrm>
                        <a:prstGeom prst="rect">
                          <a:avLst/>
                        </a:prstGeom>
                        <a:solidFill>
                          <a:srgbClr val="ffffff"/>
                        </a:solidFill>
                        <a:ln w="0">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path="m0,0l-2147483645,0l-2147483645,-2147483646l0,-2147483646xe" fillcolor="white" stroked="f" style="position:absolute;margin-left:280.1pt;margin-top:-18.35pt;width:217.45pt;height:48.75pt;mso-wrap-style:square;v-text-anchor:top">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w10:wrap type="none"/>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pPr>
      <w:r>
        <w:rPr>
          <w:rStyle w:val="21"/>
          <w:rFonts w:eastAsia="Calibri" w:cs="Liberation Serif;Times New Roman" w:ascii="Liberation Serif" w:hAnsi="Liberation Serif"/>
          <w:b/>
          <w:bCs/>
          <w:i w:val="false"/>
          <w:strike w:val="false"/>
          <w:dstrike w:val="false"/>
          <w:outline w:val="false"/>
          <w:shadow w:val="false"/>
          <w:color w:val="333333"/>
          <w:sz w:val="40"/>
          <w:szCs w:val="40"/>
          <w:u w:val="none"/>
          <w:em w:val="none"/>
          <w:lang w:val="ru-RU" w:eastAsia="ru-RU"/>
        </w:rPr>
        <w:t>ООО «</w:t>
      </w:r>
      <w:r>
        <w:rPr>
          <w:rStyle w:val="21"/>
          <w:rFonts w:eastAsia="" w:cs="" w:ascii="Liberation Serif" w:hAnsi="Liberation Serif" w:cstheme="minorBidi" w:eastAsiaTheme="minorHAnsi"/>
          <w:b/>
          <w:bCs/>
          <w:i w:val="false"/>
          <w:caps w:val="false"/>
          <w:smallCaps w:val="false"/>
          <w:strike w:val="false"/>
          <w:dstrike w:val="false"/>
          <w:outline w:val="false"/>
          <w:shadow w:val="false"/>
          <w:color w:val="00000A"/>
          <w:spacing w:val="0"/>
          <w:sz w:val="40"/>
          <w:szCs w:val="40"/>
          <w:u w:val="none"/>
          <w:em w:val="none"/>
          <w:lang w:val="ru-RU" w:eastAsia="en-US"/>
        </w:rPr>
        <w:t>Саратов-Холод Плюс»</w:t>
      </w:r>
    </w:p>
    <w:p>
      <w:pPr>
        <w:pStyle w:val="Normal"/>
        <w:spacing w:lineRule="auto" w:line="240" w:before="0" w:after="0"/>
        <w:ind w:left="0" w:right="0" w:hanging="0"/>
        <w:jc w:val="center"/>
        <w:rPr/>
      </w:pPr>
      <w:r>
        <w:rPr>
          <w:rStyle w:val="21"/>
          <w:rFonts w:eastAsia="" w:cs="" w:ascii="Liberation Serif" w:hAnsi="Liberation Serif" w:cstheme="minorBidi" w:eastAsiaTheme="minorHAnsi"/>
          <w:b/>
          <w:bCs/>
          <w:i w:val="false"/>
          <w:caps w:val="false"/>
          <w:smallCaps w:val="false"/>
          <w:strike w:val="false"/>
          <w:dstrike w:val="false"/>
          <w:outline w:val="false"/>
          <w:shadow w:val="false"/>
          <w:color w:val="00000A"/>
          <w:spacing w:val="0"/>
          <w:sz w:val="40"/>
          <w:szCs w:val="40"/>
          <w:u w:val="none"/>
          <w:em w:val="none"/>
          <w:lang w:val="ru-RU" w:eastAsia="en-US" w:bidi="ar-SA"/>
        </w:rPr>
        <w:t>площадка г.</w:t>
      </w:r>
      <w:r>
        <w:rPr>
          <w:rStyle w:val="21"/>
          <w:rFonts w:eastAsia="" w:cs="" w:ascii="Liberation Serif" w:hAnsi="Liberation Serif" w:cstheme="minorBidi" w:eastAsiaTheme="minorHAnsi"/>
          <w:b/>
          <w:bCs/>
          <w:i w:val="false"/>
          <w:caps w:val="false"/>
          <w:smallCaps w:val="false"/>
          <w:strike w:val="false"/>
          <w:dstrike w:val="false"/>
          <w:outline w:val="false"/>
          <w:shadow w:val="false"/>
          <w:color w:val="00000A"/>
          <w:spacing w:val="0"/>
          <w:sz w:val="40"/>
          <w:szCs w:val="40"/>
          <w:u w:val="none"/>
          <w:em w:val="none"/>
          <w:lang w:val="ru-RU" w:eastAsia="en-US"/>
        </w:rPr>
        <w:t xml:space="preserve"> Хвалынск</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bCs/>
          <w:color w:val="000000"/>
          <w:sz w:val="28"/>
          <w:szCs w:val="28"/>
          <w:lang w:val="ru-RU" w:eastAsia="ru-RU"/>
        </w:rPr>
      </w:pPr>
      <w:r>
        <w:rPr>
          <w:rFonts w:eastAsia="Calibri" w:cs="Liberation Serif;Times New Roman" w:ascii="Liberation Serif;Times New Roman" w:hAnsi="Liberation Serif;Times New Roman"/>
          <w:b/>
          <w:bCs/>
          <w:color w:val="000000"/>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1</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sdt>
      <w:sdtPr>
        <w:docPartObj>
          <w:docPartGallery w:val="Table of Contents"/>
          <w:docPartUnique w:val="true"/>
        </w:docPartObj>
      </w:sdtPr>
      <w:sdtContent>
        <w:p>
          <w:pPr>
            <w:pStyle w:val="19"/>
            <w:tabs>
              <w:tab w:val="clear" w:pos="408"/>
              <w:tab w:val="right" w:pos="10424" w:leader="dot"/>
            </w:tabs>
            <w:rPr/>
          </w:pPr>
          <w:r>
            <w:fldChar w:fldCharType="begin"/>
          </w:r>
          <w:r>
            <w:rPr/>
            <w:instrText> TOC \o "1-1" </w:instrText>
          </w:r>
          <w:r>
            <w:rPr/>
            <w:fldChar w:fldCharType="separate"/>
          </w:r>
          <w:hyperlink w:anchor="__RefHeading___Toc6471_938880112">
            <w:r>
              <w:rPr/>
              <w:t>Назначение, область применения и нормативные ссылки</w:t>
              <w:tab/>
              <w:t>3</w:t>
            </w:r>
          </w:hyperlink>
        </w:p>
        <w:p>
          <w:pPr>
            <w:pStyle w:val="19"/>
            <w:tabs>
              <w:tab w:val="clear" w:pos="408"/>
              <w:tab w:val="right" w:pos="10424" w:leader="dot"/>
            </w:tabs>
            <w:rPr/>
          </w:pPr>
          <w:hyperlink w:anchor="__RefHeading___Toc6473_938880112">
            <w:r>
              <w:rPr/>
              <w:t>Термины, определения и сокращения</w:t>
              <w:tab/>
              <w:t>4</w:t>
            </w:r>
          </w:hyperlink>
        </w:p>
        <w:p>
          <w:pPr>
            <w:pStyle w:val="19"/>
            <w:tabs>
              <w:tab w:val="clear" w:pos="408"/>
              <w:tab w:val="right" w:pos="10424" w:leader="dot"/>
            </w:tabs>
            <w:rPr/>
          </w:pPr>
          <w:hyperlink w:anchor="__RefHeading___Toc6475_938880112">
            <w:r>
              <w:rPr/>
              <w:t>Общие положения</w:t>
              <w:tab/>
              <w:t>5</w:t>
            </w:r>
          </w:hyperlink>
        </w:p>
        <w:p>
          <w:pPr>
            <w:pStyle w:val="19"/>
            <w:tabs>
              <w:tab w:val="clear" w:pos="408"/>
              <w:tab w:val="right" w:pos="10424" w:leader="dot"/>
            </w:tabs>
            <w:rPr/>
          </w:pPr>
          <w:hyperlink w:anchor="__RefHeading___Toc6481_938880112">
            <w:r>
              <w:rPr/>
              <w:t>Перечень целевых видов вредителей</w:t>
              <w:tab/>
              <w:t>8</w:t>
            </w:r>
          </w:hyperlink>
        </w:p>
        <w:p>
          <w:pPr>
            <w:pStyle w:val="19"/>
            <w:tabs>
              <w:tab w:val="clear" w:pos="408"/>
              <w:tab w:val="right" w:pos="10424" w:leader="dot"/>
            </w:tabs>
            <w:rPr/>
          </w:pPr>
          <w:hyperlink w:anchor="__RefHeading___Toc6479_938880112">
            <w:r>
              <w:rPr/>
              <w:t>Перечень пестицидов</w:t>
              <w:tab/>
              <w:t>9</w:t>
            </w:r>
          </w:hyperlink>
        </w:p>
        <w:p>
          <w:pPr>
            <w:pStyle w:val="19"/>
            <w:tabs>
              <w:tab w:val="clear" w:pos="408"/>
              <w:tab w:val="right" w:pos="10424" w:leader="dot"/>
            </w:tabs>
            <w:rPr/>
          </w:pPr>
          <w:hyperlink w:anchor="__RefHeading___Toc6483_938880112">
            <w:r>
              <w:rPr/>
              <w:t>Дератизация</w:t>
              <w:tab/>
              <w:t>10</w:t>
            </w:r>
          </w:hyperlink>
        </w:p>
        <w:p>
          <w:pPr>
            <w:pStyle w:val="19"/>
            <w:tabs>
              <w:tab w:val="clear" w:pos="408"/>
              <w:tab w:val="right" w:pos="10424" w:leader="dot"/>
            </w:tabs>
            <w:rPr/>
          </w:pPr>
          <w:hyperlink w:anchor="__RefHeading___Toc6493_938880112">
            <w:r>
              <w:rPr/>
              <w:t>Дезинсекция</w:t>
              <w:tab/>
              <w:t>11</w:t>
            </w:r>
          </w:hyperlink>
        </w:p>
        <w:p>
          <w:pPr>
            <w:pStyle w:val="19"/>
            <w:tabs>
              <w:tab w:val="clear" w:pos="408"/>
              <w:tab w:val="right" w:pos="10424" w:leader="dot"/>
            </w:tabs>
            <w:rPr/>
          </w:pPr>
          <w:hyperlink w:anchor="__RefHeading___Toc6487_938880112">
            <w:r>
              <w:rPr/>
              <w:t>Контроль летающих и ползающих синантропных членистоногих</w:t>
              <w:tab/>
              <w:t>13</w:t>
            </w:r>
          </w:hyperlink>
        </w:p>
        <w:p>
          <w:pPr>
            <w:pStyle w:val="19"/>
            <w:tabs>
              <w:tab w:val="clear" w:pos="408"/>
              <w:tab w:val="right" w:pos="10424" w:leader="dot"/>
            </w:tabs>
            <w:rPr/>
          </w:pPr>
          <w:hyperlink w:anchor="__RefHeading___Toc6489_938880112">
            <w:r>
              <w:rPr/>
              <w:t>Мониторинг контроля численности птиц и бродячих животных</w:t>
              <w:tab/>
              <w:t>14</w:t>
            </w:r>
          </w:hyperlink>
        </w:p>
        <w:p>
          <w:pPr>
            <w:pStyle w:val="19"/>
            <w:tabs>
              <w:tab w:val="clear" w:pos="408"/>
              <w:tab w:val="right" w:pos="10424" w:leader="dot"/>
            </w:tabs>
            <w:rPr/>
          </w:pPr>
          <w:hyperlink w:anchor="__RefHeading___Toc6491_938880112">
            <w:r>
              <w:rPr/>
              <w:t>Пищевая безопасность контроль расхода пестицидов</w:t>
              <w:tab/>
              <w:t>15</w:t>
            </w:r>
          </w:hyperlink>
        </w:p>
        <w:p>
          <w:pPr>
            <w:pStyle w:val="19"/>
            <w:tabs>
              <w:tab w:val="clear" w:pos="408"/>
              <w:tab w:val="right" w:pos="10424" w:leader="dot"/>
            </w:tabs>
            <w:rPr/>
          </w:pPr>
          <w:hyperlink w:anchor="__RefHeading___Toc6485_938880112">
            <w:r>
              <w:rPr/>
              <w:t>Ответственность требования безопасности и критерии качества</w:t>
              <w:tab/>
              <w:t>16</w:t>
            </w:r>
          </w:hyperlink>
        </w:p>
        <w:p>
          <w:pPr>
            <w:pStyle w:val="19"/>
            <w:tabs>
              <w:tab w:val="clear" w:pos="408"/>
              <w:tab w:val="right" w:pos="10424" w:leader="dot"/>
            </w:tabs>
            <w:rPr/>
          </w:pPr>
          <w:hyperlink w:anchor="__RefHeading___Toc6468_938880112">
            <w:r>
              <w:rPr>
                <w:i w:val="false"/>
                <w:iCs w:val="false"/>
              </w:rPr>
              <w:t>Требования безопасности</w:t>
            </w:r>
            <w:r>
              <w:rPr/>
              <w:tab/>
              <w:t>17</w:t>
            </w:r>
          </w:hyperlink>
        </w:p>
        <w:p>
          <w:pPr>
            <w:pStyle w:val="19"/>
            <w:tabs>
              <w:tab w:val="clear" w:pos="408"/>
              <w:tab w:val="right" w:pos="10424" w:leader="dot"/>
            </w:tabs>
            <w:rPr/>
          </w:pPr>
          <w:hyperlink w:anchor="__RefHeading___Toc2657_938880112">
            <w:r>
              <w:rPr/>
              <w:t>Список квалифицированных сотрудников подрядной организации</w:t>
              <w:tab/>
              <w:t>19</w:t>
            </w:r>
          </w:hyperlink>
          <w:r>
            <w:rPr/>
            <w:fldChar w:fldCharType="end"/>
          </w:r>
        </w:p>
      </w:sdtContent>
    </w:sdt>
    <w:p>
      <w:pPr>
        <w:pStyle w:val="Normal"/>
        <w:spacing w:lineRule="auto" w:line="240" w:before="0" w:after="0"/>
        <w:jc w:val="left"/>
        <w:rPr>
          <w:rFonts w:ascii="Liberation Serif;Times New Roman" w:hAnsi="Liberation Serif;Times New Roman" w:eastAsia="WenQuanYi Micro Hei" w:cs="Liberation Serif;Times New Roman"/>
          <w:b/>
          <w:b/>
          <w:bCs/>
          <w:caps/>
          <w:color w:val="00000A"/>
          <w:sz w:val="28"/>
          <w:szCs w:val="28"/>
          <w:lang w:val="ru-RU" w:eastAsia="ru-RU" w:bidi="hi-IN"/>
        </w:rPr>
      </w:pPr>
      <w:r>
        <w:rPr>
          <w:rFonts w:eastAsia="WenQuanYi Micro Hei" w:cs="Liberation Serif;Times New Roman" w:ascii="Liberation Serif;Times New Roman" w:hAnsi="Liberation Serif;Times New Roman"/>
          <w:b/>
          <w:bCs/>
          <w:caps/>
          <w:color w:val="00000A"/>
          <w:sz w:val="28"/>
          <w:szCs w:val="28"/>
          <w:lang w:val="ru-RU" w:eastAsia="ru-RU" w:bidi="hi-IN"/>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clear" w:pos="408"/>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ООО «Саратов-Холод Плюс» </w:t>
      </w:r>
      <w:r>
        <w:rPr>
          <w:rFonts w:eastAsia="Times New Roman" w:cs="Liberation Serif;Times New Roman" w:ascii="Liberation Serif" w:hAnsi="Liberation Serif"/>
          <w:color w:val="00000A"/>
          <w:sz w:val="24"/>
          <w:szCs w:val="24"/>
          <w:lang w:val="ru-RU" w:eastAsia="zh-CN" w:bidi="ar-SA"/>
        </w:rPr>
        <w:t>площадка г.Хвалынск</w:t>
      </w:r>
      <w:r>
        <w:rPr>
          <w:rFonts w:cs="Liberation Serif;Times New Roman" w:ascii="Liberation Serif" w:hAnsi="Liberation Serif"/>
          <w:sz w:val="24"/>
          <w:szCs w:val="24"/>
          <w:lang w:val="ru-RU"/>
        </w:rPr>
        <w:t xml:space="preserve"> (далее – предприятие).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Процедура описывает  по организации контроля численности  вредителей на территории, в помещениях и строениях ООО «Саратов-Холод Плюс» </w:t>
      </w:r>
      <w:r>
        <w:rPr>
          <w:rFonts w:eastAsia="Times New Roman" w:cs="Liberation Serif;Times New Roman" w:ascii="Liberation Serif" w:hAnsi="Liberation Serif"/>
          <w:color w:val="00000A"/>
          <w:sz w:val="24"/>
          <w:szCs w:val="24"/>
          <w:lang w:val="ru-RU" w:eastAsia="zh-CN" w:bidi="ar-SA"/>
        </w:rPr>
        <w:t>площадка г.Хвалынск</w:t>
      </w:r>
      <w:r>
        <w:rPr>
          <w:rFonts w:cs="Liberation Serif;Times New Roman" w:ascii="Liberation Serif" w:hAnsi="Liberation Serif"/>
          <w:sz w:val="24"/>
          <w:szCs w:val="24"/>
          <w:lang w:val="ru-RU"/>
        </w:rPr>
        <w:t>,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3"/>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3"/>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3"/>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3"/>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FFFFFF"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FFFFFF"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FFFFFF" w:val="clear"/>
          <w:lang w:val="ru-RU"/>
        </w:rPr>
        <w:t>Инсектицидные лампы от летающих насекомых</w:t>
      </w:r>
      <w:r>
        <w:rPr>
          <w:rStyle w:val="21"/>
          <w:rFonts w:cs="Liberation Serif;Times New Roman" w:ascii="Liberation Serif" w:hAnsi="Liberation Serif"/>
          <w:color w:val="000000"/>
          <w:sz w:val="24"/>
          <w:szCs w:val="24"/>
          <w:shd w:fill="FFFFFF" w:val="clear"/>
          <w:lang w:val="ru-RU"/>
        </w:rPr>
        <w:t xml:space="preserve"> </w:t>
      </w:r>
      <w:r>
        <w:rPr>
          <w:rStyle w:val="21"/>
          <w:rFonts w:cs="Liberation Serif;Times New Roman" w:ascii="Liberation Serif" w:hAnsi="Liberation Serif"/>
          <w:i/>
          <w:iCs/>
          <w:color w:val="000000"/>
          <w:sz w:val="24"/>
          <w:szCs w:val="24"/>
          <w:shd w:fill="FFFFFF" w:val="clear"/>
          <w:lang w:val="ru-RU"/>
        </w:rPr>
        <w:t>ИЛ</w:t>
      </w:r>
      <w:r>
        <w:rPr>
          <w:rStyle w:val="21"/>
          <w:rFonts w:cs="Liberation Serif;Times New Roman" w:ascii="Liberation Serif" w:hAnsi="Liberation Serif"/>
          <w:color w:val="000000"/>
          <w:sz w:val="24"/>
          <w:szCs w:val="24"/>
          <w:shd w:fill="FFFFFF" w:val="clear"/>
          <w:lang w:val="ru-RU"/>
        </w:rPr>
        <w:t>- уничтожитель летающих насекомых работает от электрической сети. Используется в помещениях, лампы излучает свет и тепло, что привлекает насекомых. Они хотят приблизиться к источнику и гибнут от удара током в 1500 вольт, проходящим по металлической сетке.</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FFFFFF" w:val="clear"/>
          <w:lang w:val="ru-RU"/>
        </w:rPr>
        <w:t>Инсектомониторы от ползающих насекомых ИМ</w:t>
      </w:r>
      <w:r>
        <w:rPr>
          <w:rStyle w:val="21"/>
          <w:rFonts w:cs="Liberation Serif;Times New Roman" w:ascii="Liberation Serif" w:hAnsi="Liberation Serif"/>
          <w:color w:val="000000"/>
          <w:sz w:val="24"/>
          <w:szCs w:val="24"/>
          <w:shd w:fill="FFFFFF" w:val="clear"/>
          <w:lang w:val="ru-RU"/>
        </w:rPr>
        <w:t xml:space="preserve"> -изготовлены из черного пластика, предназначен для отлова ползающих бытовых насекомых. Внутри контейнера размещают клеевую пластину с привлекателем или инсектогель. </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мониторинг нецелевого вида вредителей.</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За выполнение мероприятий по борьбе с вредителями  ООО «Саратов-Холод Плюс» </w:t>
      </w:r>
      <w:r>
        <w:rPr>
          <w:rStyle w:val="21"/>
          <w:rFonts w:eastAsia="Times New Roman" w:cs="Liberation Serif;Times New Roman" w:ascii="Liberation Serif" w:hAnsi="Liberation Serif"/>
          <w:color w:val="000000"/>
          <w:sz w:val="24"/>
          <w:szCs w:val="24"/>
          <w:lang w:val="ru-RU" w:eastAsia="zh-CN" w:bidi="ar-SA"/>
        </w:rPr>
        <w:t>площадка г.Хвалынск</w:t>
      </w:r>
      <w:r>
        <w:rPr>
          <w:rStyle w:val="21"/>
          <w:rFonts w:cs="Liberation Serif;Times New Roman" w:ascii="Liberation Serif" w:hAnsi="Liberation Serif"/>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3"/>
        <w:spacing w:lineRule="auto" w:line="240" w:before="0" w:after="0"/>
        <w:rPr>
          <w:rFonts w:ascii="Liberation Serif" w:hAnsi="Liberation Serif"/>
          <w:sz w:val="24"/>
          <w:szCs w:val="24"/>
        </w:rPr>
      </w:pPr>
      <w:r>
        <w:rPr>
          <w:rFonts w:ascii="Liberation Serif" w:hAnsi="Liberation Serif"/>
          <w:sz w:val="24"/>
          <w:szCs w:val="24"/>
        </w:rPr>
      </w:r>
    </w:p>
    <w:tbl>
      <w:tblPr>
        <w:tblW w:w="9961" w:type="dxa"/>
        <w:jc w:val="left"/>
        <w:tblInd w:w="-60" w:type="dxa"/>
        <w:tblLayout w:type="fixed"/>
        <w:tblCellMar>
          <w:top w:w="0" w:type="dxa"/>
          <w:left w:w="73" w:type="dxa"/>
          <w:bottom w:w="0" w:type="dxa"/>
          <w:right w:w="108" w:type="dxa"/>
        </w:tblCellMar>
      </w:tblPr>
      <w:tblGrid>
        <w:gridCol w:w="6977"/>
        <w:gridCol w:w="2983"/>
      </w:tblGrid>
      <w:tr>
        <w:trPr>
          <w:tblHeader w:val="true"/>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bookmarkStart w:id="6" w:name="__DdeLink__991_408330399"/>
            <w:bookmarkEnd w:id="6"/>
            <w:r>
              <w:rPr>
                <w:rFonts w:cs="Liberation Serif;Times New Roman" w:ascii="Liberation Serif" w:hAnsi="Liberation Serif"/>
                <w:sz w:val="24"/>
                <w:szCs w:val="24"/>
              </w:rPr>
              <w:t>Руководитель службы АХО</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Руководитель службы АХО</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Руководитель службы АХО</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Руководитель службы АХО</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Директор производства</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дезинсекции специалистами подрядной организации.</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Руководитель службы АХО</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Руководитель службы АХО</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Директор производства</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представителю Заказчика документации на применяемые средства и препараты (утвержденные методические указания/инструкции,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с предоставлением отчета и  корректирующих мер.</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Руководитель службы АХО</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color w:val="auto"/>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color w:val="auto"/>
              </w:rPr>
            </w:pPr>
            <w:r>
              <w:rPr>
                <w:rFonts w:cs="Liberation Serif;Times New Roman" w:ascii="Liberation Serif" w:hAnsi="Liberation Serif"/>
                <w:color w:val="000000"/>
                <w:sz w:val="24"/>
                <w:szCs w:val="24"/>
                <w:shd w:fill="auto" w:val="clear"/>
                <w:lang w:val="ru-RU"/>
              </w:rPr>
              <w:t>Руководитель службы АХО</w:t>
            </w:r>
          </w:p>
          <w:p>
            <w:pPr>
              <w:pStyle w:val="Style23"/>
              <w:widowControl w:val="false"/>
              <w:suppressAutoHyphens w:val="false"/>
              <w:bidi w:val="0"/>
              <w:spacing w:lineRule="auto" w:line="240" w:before="0" w:after="0"/>
              <w:ind w:left="0" w:right="0" w:hanging="0"/>
              <w:jc w:val="both"/>
              <w:textAlignment w:val="baseline"/>
              <w:rPr>
                <w:color w:val="auto"/>
              </w:rPr>
            </w:pPr>
            <w:bookmarkStart w:id="7" w:name="__DdeLink__994_680109498"/>
            <w:bookmarkEnd w:id="7"/>
            <w:r>
              <w:rPr>
                <w:rFonts w:cs="Liberation Serif;Times New Roman" w:ascii="Liberation Serif" w:hAnsi="Liberation Serif"/>
                <w:color w:val="auto"/>
                <w:sz w:val="24"/>
                <w:szCs w:val="24"/>
                <w:lang w:val="ru-RU"/>
              </w:rPr>
              <w:t>Руководитель подразделений</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color w:val="auto"/>
                <w:sz w:val="24"/>
                <w:szCs w:val="24"/>
                <w:lang w:val="ru-RU"/>
              </w:rPr>
              <w:t>Поддержание хорошего санитарного состояния подразделения, для снижения рисков проникновения/заселения помещений подразделения вредителями.   (Исключение открытых дверей, окон, люков, ворот, отверстий, не оборудованных сетками. Обеспечение исправного состояния поверхностей помещений, обеспечение доступа для уборки и проведению работ по дератизации и дезинсекции, своевременное удаление мусора и т.).</w:t>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highlight w:val="yellow"/>
              </w:rPr>
            </w:pPr>
            <w:r>
              <w:rPr>
                <w:rFonts w:cs="Liberation Serif;Times New Roman" w:ascii="Liberation Serif" w:hAnsi="Liberation Serif"/>
                <w:color w:val="000000"/>
                <w:sz w:val="24"/>
                <w:szCs w:val="24"/>
                <w:shd w:fill="auto" w:val="clear"/>
                <w:lang w:val="ru-RU"/>
              </w:rPr>
              <w:t>Заведующий АХО</w:t>
            </w:r>
          </w:p>
          <w:p>
            <w:pPr>
              <w:pStyle w:val="Style23"/>
              <w:widowControl w:val="false"/>
              <w:suppressAutoHyphens w:val="false"/>
              <w:bidi w:val="0"/>
              <w:spacing w:lineRule="auto" w:line="240" w:before="0" w:after="0"/>
              <w:ind w:left="0" w:right="0" w:hanging="0"/>
              <w:jc w:val="both"/>
              <w:textAlignment w:val="baseline"/>
              <w:rPr>
                <w:color w:val="auto"/>
              </w:rPr>
            </w:pPr>
            <w:r>
              <w:rPr>
                <w:rFonts w:cs="Liberation Serif;Times New Roman" w:ascii="Liberation Serif" w:hAnsi="Liberation Serif"/>
                <w:color w:val="auto"/>
                <w:sz w:val="24"/>
                <w:szCs w:val="24"/>
                <w:lang w:val="ru-RU"/>
              </w:rPr>
              <w:t>Руководитель подразделений</w:t>
            </w:r>
          </w:p>
        </w:tc>
      </w:tr>
      <w:tr>
        <w:trPr/>
        <w:tc>
          <w:tcPr>
            <w:tcW w:w="6977"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highlight w:val="yellow"/>
              </w:rPr>
            </w:pPr>
            <w:r>
              <w:rPr>
                <w:color w:val="000000"/>
                <w:shd w:fill="auto" w:val="clear"/>
              </w:rPr>
              <w:t>Журнал наработки времени ультрафиолетовых ламп. В журнале необходимо указать индивидуальный номер УФ-ловушки, наименование лампы, срок ввода ее в эксплуатацию, общее время наработки и предварительную дату замены лампы</w:t>
            </w:r>
          </w:p>
          <w:p>
            <w:pPr>
              <w:pStyle w:val="Style23"/>
              <w:widowControl w:val="false"/>
              <w:suppressAutoHyphens w:val="false"/>
              <w:bidi w:val="0"/>
              <w:spacing w:lineRule="auto" w:line="240" w:before="0" w:after="0"/>
              <w:ind w:left="0" w:right="0" w:firstLine="283"/>
              <w:jc w:val="both"/>
              <w:textAlignment w:val="baseline"/>
              <w:rPr>
                <w:color w:val="auto"/>
                <w:shd w:fill="auto" w:val="clear"/>
              </w:rPr>
            </w:pPr>
            <w:r>
              <w:rPr>
                <w:color w:val="000000"/>
                <w:shd w:fill="auto" w:val="clear"/>
              </w:rPr>
            </w:r>
          </w:p>
        </w:tc>
        <w:tc>
          <w:tcPr>
            <w:tcW w:w="2983"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color w:val="auto"/>
              </w:rPr>
            </w:pPr>
            <w:r>
              <w:rPr>
                <w:color w:val="000000"/>
                <w:shd w:fill="auto" w:val="clear"/>
              </w:rPr>
              <w:t>Инженер -</w:t>
            </w:r>
            <w:r>
              <w:rPr>
                <w:color w:val="auto"/>
              </w:rPr>
              <w:t>электрик</w:t>
            </w:r>
          </w:p>
        </w:tc>
      </w:tr>
    </w:tbl>
    <w:p>
      <w:pPr>
        <w:pStyle w:val="Style23"/>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3"/>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w:t>
      </w:r>
    </w:p>
    <w:p>
      <w:pPr>
        <w:pStyle w:val="Style23"/>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подтверждающие их квалификацию.</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3"/>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3"/>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3"/>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3"/>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3"/>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3"/>
        <w:spacing w:lineRule="auto" w:line="240" w:before="0" w:after="0"/>
        <w:rPr/>
      </w:pPr>
      <w:r>
        <w:rPr>
          <w:rStyle w:val="21"/>
          <w:rFonts w:cs="Liberation Serif;Times New Roman" w:ascii="Liberation Serif" w:hAnsi="Liberation Serif"/>
          <w:sz w:val="24"/>
          <w:szCs w:val="24"/>
          <w:lang w:val="ru-RU"/>
        </w:rPr>
        <w:t xml:space="preserve">Все  работы по дератизации и дезинсекции должны проводиться в присутствии руководителя подразделения/ представителя подразделения, в котором проводятся данные работы назначенного руководителем подразделения, </w:t>
      </w:r>
      <w:r>
        <w:rPr>
          <w:rStyle w:val="21"/>
          <w:rFonts w:eastAsia="Times New Roman" w:cs="Liberation Serif;Times New Roman" w:ascii="Liberation Serif" w:hAnsi="Liberation Serif"/>
          <w:color w:val="00000A"/>
          <w:sz w:val="24"/>
          <w:szCs w:val="24"/>
          <w:lang w:val="ru-RU" w:eastAsia="zh-CN" w:bidi="ar-SA"/>
        </w:rPr>
        <w:t>согласно договора.</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Подрядная организация заполняет ежемесячный отчет:</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Журнал учета внесенных пестицидов</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3"/>
        <w:spacing w:lineRule="auto" w:line="240" w:before="0" w:after="0"/>
        <w:rPr>
          <w:rStyle w:val="21"/>
          <w:rFonts w:ascii="Liberation Serif" w:hAnsi="Liberation Serif" w:cs="Liberation Serif;Times New Roman"/>
          <w:color w:val="000000"/>
          <w:sz w:val="24"/>
          <w:szCs w:val="24"/>
          <w:lang w:val="ru-RU"/>
        </w:rPr>
      </w:pPr>
      <w:r>
        <w:rPr>
          <w:rFonts w:cs="Liberation Serif;Times New Roman" w:ascii="Liberation Serif" w:hAnsi="Liberation Serif"/>
          <w:color w:val="000000"/>
          <w:sz w:val="24"/>
          <w:szCs w:val="24"/>
          <w:lang w:val="ru-RU"/>
        </w:rPr>
      </w:r>
    </w:p>
    <w:p>
      <w:pPr>
        <w:pStyle w:val="Style23"/>
        <w:spacing w:lineRule="auto" w:line="240" w:before="0" w:after="0"/>
        <w:rPr/>
      </w:pPr>
      <w:r>
        <w:rPr>
          <w:rStyle w:val="21"/>
          <w:rFonts w:cs="Liberation Serif;Times New Roman" w:ascii="Liberation Serif" w:hAnsi="Liberation Serif"/>
          <w:sz w:val="24"/>
          <w:szCs w:val="24"/>
          <w:lang w:val="ru-RU"/>
        </w:rPr>
        <w:t xml:space="preserve">При истребительной дезинсекционной обработке во время остановочного ремонта, с  согласования руководителей АХС разрешается использовать разрешенные для обработки предприятий пищевой промышленности дезинсекционные средства содержащие яды. Отходы связанные с результатом оказания услуг/выполнения работ Исполнителем, а именно с дезинфекцией/дератизацией/дезинсекцией,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8" w:name="__RefHeading___Toc6481_938880112"/>
      <w:bookmarkEnd w:id="8"/>
      <w:r>
        <w:rPr>
          <w:rFonts w:ascii="Liberation Serif" w:hAnsi="Liberation Serif"/>
          <w:b/>
          <w:bCs/>
          <w:sz w:val="24"/>
          <w:szCs w:val="24"/>
        </w:rPr>
        <w:t>Перечень целевых видов вредителей</w:t>
      </w:r>
    </w:p>
    <w:p>
      <w:pPr>
        <w:pStyle w:val="Style23"/>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Layout w:type="fixed"/>
        <w:tblCellMar>
          <w:top w:w="55" w:type="dxa"/>
          <w:left w:w="46" w:type="dxa"/>
          <w:bottom w:w="55" w:type="dxa"/>
          <w:right w:w="55" w:type="dxa"/>
        </w:tblCellMar>
      </w:tblPr>
      <w:tblGrid>
        <w:gridCol w:w="725"/>
        <w:gridCol w:w="1423"/>
        <w:gridCol w:w="1719"/>
        <w:gridCol w:w="1701"/>
        <w:gridCol w:w="4856"/>
      </w:tblGrid>
      <w:tr>
        <w:trPr/>
        <w:tc>
          <w:tcPr>
            <w:tcW w:w="725"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23"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19"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1"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Надкласс Insecta [Hexapoda] (Насекомые)</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летающие</w:t>
            </w:r>
          </w:p>
        </w:tc>
      </w:tr>
      <w:tr>
        <w:trPr/>
        <w:tc>
          <w:tcPr>
            <w:tcW w:w="725"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Настоящие</w:t>
              <w:br/>
              <w:t>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1"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Muscidae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Musca domestica L. - комнатная муха  </w:t>
              <w:br/>
              <w:t xml:space="preserve">Musca sorbens Wied. - базарная муха </w:t>
              <w:br/>
              <w:t>Stomoxys calcitrans (L.) - осенняя жигалка</w:t>
            </w:r>
          </w:p>
        </w:tc>
      </w:tr>
      <w:tr>
        <w:trPr/>
        <w:tc>
          <w:tcPr>
            <w:tcW w:w="725"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Дрозофилы</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1"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Drosophila melanogaster Meig. - обыкновенная дрозофила</w:t>
            </w:r>
          </w:p>
        </w:tc>
      </w:tr>
      <w:tr>
        <w:trPr/>
        <w:tc>
          <w:tcPr>
            <w:tcW w:w="725"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Падальные</w:t>
              <w:br/>
              <w:t>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1"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Calliphoridae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Lucilia spp. </w:t>
              <w:br/>
              <w:t xml:space="preserve">Calliphora spp. </w:t>
              <w:br/>
              <w:t xml:space="preserve">Protophormia spp. </w:t>
              <w:br/>
              <w:t>Phormia spp.</w:t>
            </w:r>
          </w:p>
        </w:tc>
      </w:tr>
      <w:tr>
        <w:trPr/>
        <w:tc>
          <w:tcPr>
            <w:tcW w:w="725"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4</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Серые</w:t>
              <w:br/>
              <w:t>мясные 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1"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Sarcophagidae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Wohlfahrtia magnifica (Schin.)</w:t>
              <w:br/>
              <w:t>Вольфартова муха Sarcophaga haemorrhoidalis (Fall.)</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Собирают загрязненный материал на своем хоботке и теле. Некоторые виды срыгивают пищеварительные соки и даже испражняются во время поедания пищи и отдыха. Это еще больше увеличивает загрязнение. Являются переносчиками более 100 вредных патогенов. Они размножаются в разлагающемся мусоре и влажной нечистой среде, а затем переходят на свежие продукты питания, производственное и перерабатывающее оборудование и другие рабочие места, загрязняя их и распространяя болезнетворные бактерии.</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ползающие</w:t>
            </w:r>
          </w:p>
        </w:tc>
      </w:tr>
      <w:tr>
        <w:trPr/>
        <w:tc>
          <w:tcPr>
            <w:tcW w:w="725"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23"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Тараканы</w:t>
            </w:r>
          </w:p>
        </w:tc>
        <w:tc>
          <w:tcPr>
            <w:tcW w:w="171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Blattodea</w:t>
              <w:br/>
              <w:t>(Таракановые)</w:t>
            </w:r>
          </w:p>
        </w:tc>
        <w:tc>
          <w:tcPr>
            <w:tcW w:w="1701"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Blattellidae</w:t>
            </w:r>
          </w:p>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Blattella germanica (L.) - рыжий таракан</w:t>
              <w:br/>
              <w:t xml:space="preserve">Blatta orientalis L. -чёрный таракан </w:t>
              <w:br/>
              <w:t>Periplaneta americana L. - американский</w:t>
              <w:br/>
              <w:t>таракан</w:t>
            </w:r>
          </w:p>
        </w:tc>
      </w:tr>
      <w:tr>
        <w:trPr/>
        <w:tc>
          <w:tcPr>
            <w:tcW w:w="725"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Муравьи</w:t>
            </w:r>
          </w:p>
        </w:tc>
        <w:tc>
          <w:tcPr>
            <w:tcW w:w="171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Hymenoptera</w:t>
              <w:br/>
              <w:t>(Перепончатокрылые)</w:t>
            </w:r>
          </w:p>
        </w:tc>
        <w:tc>
          <w:tcPr>
            <w:tcW w:w="1701"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Formicidae</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Monomorium pharaonis (L.) - рыжий домовый муравей</w:t>
              <w:br/>
              <w:t>Lasius niger L . - чёрный садовый муравей</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Прячутся в небольших щелях, разнообразно питаются и быстро размножаются. Являются носителями 6 видов паразитических червей, 7 видов человеческих патогенов и, по крайней мере, 33 видов бактерий. Способны собирать мусор и микробы на своих ногах во время ползания по сточным водам и другим нечистым местам, которые затем легко переносят на продукты питания, рабочие места, оборудование для пищевой промышленности, увеличивая тем самым вероятность загрязнения.</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25"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23"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1"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56"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center"/>
              <w:rPr/>
            </w:pPr>
            <w:hyperlink r:id="rId4">
              <w:r>
                <w:rPr>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3"/>
              <w:widowControl w:val="false"/>
              <w:numPr>
                <w:ilvl w:val="0"/>
                <w:numId w:val="10"/>
              </w:numPr>
              <w:tabs>
                <w:tab w:val="clear" w:pos="408"/>
                <w:tab w:val="left" w:pos="0" w:leader="none"/>
              </w:tabs>
              <w:spacing w:lineRule="auto" w:line="240" w:before="0" w:after="0"/>
              <w:ind w:left="707" w:right="0" w:firstLine="284"/>
              <w:jc w:val="left"/>
              <w:rPr/>
            </w:pPr>
            <w:hyperlink r:id="rId5">
              <w:r>
                <w:rPr>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3"/>
              <w:widowControl w:val="false"/>
              <w:numPr>
                <w:ilvl w:val="0"/>
                <w:numId w:val="10"/>
              </w:numPr>
              <w:tabs>
                <w:tab w:val="clear" w:pos="408"/>
                <w:tab w:val="left" w:pos="0" w:leader="none"/>
              </w:tabs>
              <w:spacing w:lineRule="auto" w:line="240" w:before="0" w:after="0"/>
              <w:ind w:left="707" w:right="0" w:firstLine="284"/>
              <w:jc w:val="left"/>
              <w:rPr/>
            </w:pPr>
            <w:hyperlink r:id="rId6">
              <w:r>
                <w:rPr>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10"/>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10"/>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pPr>
      <w:bookmarkStart w:id="9" w:name="__RefHeading___Toc6479_938880112"/>
      <w:bookmarkEnd w:id="9"/>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Layout w:type="fixed"/>
        <w:tblCellMar>
          <w:top w:w="55" w:type="dxa"/>
          <w:left w:w="46" w:type="dxa"/>
          <w:bottom w:w="55" w:type="dxa"/>
          <w:right w:w="55" w:type="dxa"/>
        </w:tblCellMar>
      </w:tblPr>
      <w:tblGrid>
        <w:gridCol w:w="272"/>
        <w:gridCol w:w="1189"/>
        <w:gridCol w:w="1818"/>
        <w:gridCol w:w="1647"/>
        <w:gridCol w:w="3028"/>
        <w:gridCol w:w="1010"/>
        <w:gridCol w:w="1242"/>
      </w:tblGrid>
      <w:tr>
        <w:trPr/>
        <w:tc>
          <w:tcPr>
            <w:tcW w:w="27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1"/>
              <w:left w:val="single" w:sz="2" w:space="0" w:color="000001"/>
              <w:bottom w:val="single" w:sz="2" w:space="0" w:color="000001"/>
            </w:tcBorders>
            <w:shd w:fill="auto" w:val="clear"/>
          </w:tcPr>
          <w:p>
            <w:pPr>
              <w:pStyle w:val="Normal"/>
              <w:widowControl w:val="false"/>
              <w:tabs>
                <w:tab w:val="clear" w:pos="408"/>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2"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9"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8"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FFFFFF" w:val="clear"/>
              </w:rPr>
              <w:t>РОСС RU.АЯ12.Д02546. от 19.10.2011г. Срок действия до 19.10.2022г.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Согласно инструкции по применению</w:t>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 контур зашиты</w:t>
            </w:r>
          </w:p>
        </w:tc>
      </w:tr>
      <w:tr>
        <w:trPr/>
        <w:tc>
          <w:tcPr>
            <w:tcW w:w="272"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top w:val="single" w:sz="2" w:space="0" w:color="000001"/>
              <w:left w:val="single" w:sz="2" w:space="0" w:color="000001"/>
              <w:bottom w:val="single" w:sz="2" w:space="0" w:color="000001"/>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Согласно инструкции по применению</w:t>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 контур зашиты</w:t>
            </w:r>
          </w:p>
        </w:tc>
      </w:tr>
      <w:tr>
        <w:trPr>
          <w:trHeight w:val="1653" w:hRule="atLeast"/>
        </w:trPr>
        <w:tc>
          <w:tcPr>
            <w:tcW w:w="272"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Фаворит В.К.Э.</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инсектицид</w:t>
            </w:r>
          </w:p>
        </w:tc>
        <w:tc>
          <w:tcPr>
            <w:tcW w:w="181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альфациперметрин 10,0%, тетраметрин 1,5%</w:t>
            </w:r>
          </w:p>
          <w:p>
            <w:pPr>
              <w:pStyle w:val="Normal"/>
              <w:widowControl w:val="false"/>
              <w:spacing w:lineRule="auto" w:line="240" w:before="0" w:after="0"/>
              <w:ind w:left="0" w:right="0" w:hanging="0"/>
              <w:jc w:val="both"/>
              <w:rPr>
                <w:rFonts w:ascii="Liberation Serif" w:hAnsi="Liberation Serif"/>
                <w:sz w:val="21"/>
                <w:szCs w:val="21"/>
              </w:rPr>
            </w:pPr>
            <w:r>
              <w:rPr>
                <w:rFonts w:ascii="Liberation Serif" w:hAnsi="Liberation Serif"/>
                <w:sz w:val="21"/>
                <w:szCs w:val="21"/>
                <w:shd w:fill="FFFFFF" w:val="clear"/>
              </w:rPr>
              <w:t>РОСС  RU.АЯ12.Д03917г. от 26.05.2014г. Срок действия до 26.05.2024г.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Средства в форме концентратов эмульсий, суспензий, суспоэмульсий; смачивающихся, водорастворимых</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насекомых при подсадке на впитывающую поверхность при учете через 24 часа, % - не менее 80</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Согласно инструкции по применению</w:t>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110" w:hRule="atLeast"/>
        </w:trPr>
        <w:tc>
          <w:tcPr>
            <w:tcW w:w="272"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4</w:t>
            </w:r>
          </w:p>
        </w:tc>
        <w:tc>
          <w:tcPr>
            <w:tcW w:w="118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Великий воин гель (инсектицид)</w:t>
            </w:r>
          </w:p>
        </w:tc>
        <w:tc>
          <w:tcPr>
            <w:tcW w:w="181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Диазинон 0,2%</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Д-RU.АД37.В.24647/20</w:t>
            </w:r>
          </w:p>
        </w:tc>
        <w:tc>
          <w:tcPr>
            <w:tcW w:w="164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Нанесение на подложки инсектомониторы, щели , места обнаружения и возможного обитания</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Согласно инструкции по применению</w:t>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653" w:hRule="atLeast"/>
        </w:trPr>
        <w:tc>
          <w:tcPr>
            <w:tcW w:w="272"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5</w:t>
            </w:r>
          </w:p>
        </w:tc>
        <w:tc>
          <w:tcPr>
            <w:tcW w:w="118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8"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FFFFFF" w:val="clear"/>
              </w:rPr>
              <w:t>т 19.10.2011г. Срок действия до 19.10.2022 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8"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1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Согласно инструкции по применению</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0" w:name="__RefHeading___Toc6483_938880112"/>
      <w:bookmarkEnd w:id="10"/>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3"/>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clear" w:pos="408"/>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clear" w:pos="408"/>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clear" w:pos="408"/>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1.4.4. Внесение записей по результатам оценки эффективности дератизации в отчетную документацию</w:t>
      </w:r>
    </w:p>
    <w:p>
      <w:pPr>
        <w:pStyle w:val="1"/>
        <w:widowControl w:val="false"/>
        <w:numPr>
          <w:ilvl w:val="0"/>
          <w:numId w:val="0"/>
        </w:numPr>
        <w:shd w:val="clear" w:fill="FFFFFF"/>
        <w:tabs>
          <w:tab w:val="clear" w:pos="408"/>
          <w:tab w:val="left" w:pos="644" w:leader="none"/>
        </w:tabs>
        <w:suppressAutoHyphens w:val="false"/>
        <w:bidi w:val="0"/>
        <w:spacing w:lineRule="auto" w:line="240" w:before="0" w:after="0"/>
        <w:ind w:left="0" w:right="0" w:hanging="0"/>
        <w:jc w:val="center"/>
        <w:textAlignment w:val="auto"/>
        <w:rPr>
          <w:rFonts w:ascii="Liberation Serif" w:hAnsi="Liberation Serif"/>
          <w:sz w:val="24"/>
          <w:szCs w:val="24"/>
        </w:rPr>
      </w:pPr>
      <w:bookmarkStart w:id="11" w:name="__RefHeading___Toc6493_938880112"/>
      <w:bookmarkEnd w:id="11"/>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tabs>
          <w:tab w:val="clear" w:pos="408"/>
          <w:tab w:val="left" w:pos="7049" w:leader="none"/>
        </w:tabs>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both"/>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3"/>
        <w:widowControl/>
        <w:suppressAutoHyphens w:val="false"/>
        <w:bidi w:val="0"/>
        <w:spacing w:lineRule="auto" w:line="240" w:before="0" w:after="0"/>
        <w:ind w:left="0" w:right="0" w:firstLine="850"/>
        <w:jc w:val="both"/>
        <w:textAlignment w:val="baseline"/>
        <w:rPr>
          <w:rFonts w:ascii="Liberation Serif" w:hAnsi="Liberation Serif"/>
          <w:sz w:val="24"/>
          <w:szCs w:val="24"/>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3"/>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технических помещений;</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shd w:val="clear" w:fill="FFFFFF"/>
        <w:tabs>
          <w:tab w:val="clear" w:pos="408"/>
          <w:tab w:val="left" w:pos="583" w:leader="none"/>
        </w:tabs>
        <w:spacing w:lineRule="auto" w:line="240" w:before="0" w:after="0"/>
        <w:ind w:left="360" w:right="0" w:hanging="360"/>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shd w:val="clear" w:fill="FFFFFF"/>
        <w:spacing w:lineRule="auto" w:line="240" w:before="0" w:after="0"/>
        <w:ind w:left="360" w:right="0" w:hanging="360"/>
        <w:jc w:val="center"/>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 xml:space="preserve">2.2.1. Истребительные мероприятия проводятся только в тех помещениях, в которых были обнаружены насекомые </w:t>
      </w:r>
      <w:r>
        <w:rPr>
          <w:rFonts w:cs="Liberation Serif;Times New Roman" w:ascii="Liberation Serif" w:hAnsi="Liberation Serif"/>
          <w:b/>
          <w:bCs/>
          <w:color w:val="000000"/>
          <w:sz w:val="24"/>
          <w:szCs w:val="24"/>
          <w:lang w:bidi="ru-RU"/>
        </w:rPr>
        <w:t>по заявке Заказчика</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 xml:space="preserve">2.2.4. Дезинсекцию выполняют при остановке автоматических линий </w:t>
      </w:r>
      <w:r>
        <w:rPr>
          <w:rFonts w:cs="Liberation Serif;Times New Roman" w:ascii="Liberation Serif" w:hAnsi="Liberation Serif"/>
          <w:b/>
          <w:bCs/>
          <w:color w:val="000000"/>
          <w:sz w:val="24"/>
          <w:szCs w:val="24"/>
          <w:lang w:bidi="ru-RU"/>
        </w:rPr>
        <w:t>по заявке Заказчика</w:t>
      </w:r>
      <w:r>
        <w:rPr>
          <w:rFonts w:cs="Liberation Serif;Times New Roman" w:ascii="Liberation Serif" w:hAnsi="Liberation Serif"/>
          <w:color w:val="000000"/>
          <w:sz w:val="24"/>
          <w:szCs w:val="24"/>
          <w:lang w:bidi="ru-RU"/>
        </w:rPr>
        <w:t>.</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2.2.5. Не допускается обработка внутренних поверхностей технологического оборудования и инвентаря, соприкасающиеся с продукцией, инсектицидными препаратами.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2.2.6. При завозе на территорию насекомых с тарой работники незамедлительно уведомляют руководителя структурного подразделения,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2.2.7.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2" w:name="__RefHeading___Toc6487_938880112"/>
      <w:bookmarkEnd w:id="12"/>
      <w:r>
        <w:rPr>
          <w:rStyle w:val="21"/>
          <w:rFonts w:cs="Liberation Serif;Times New Roman" w:ascii="Liberation Serif" w:hAnsi="Liberation Serif"/>
          <w:b/>
          <w:bCs/>
          <w:sz w:val="24"/>
          <w:szCs w:val="24"/>
        </w:rPr>
        <w:t xml:space="preserve">Контроль летающих и ползающих синантропных членистоногих </w:t>
      </w:r>
    </w:p>
    <w:p>
      <w:pPr>
        <w:pStyle w:val="Normal"/>
        <w:widowControl/>
        <w:numPr>
          <w:ilvl w:val="0"/>
          <w:numId w:val="3"/>
        </w:numPr>
        <w:tabs>
          <w:tab w:val="clear" w:pos="408"/>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clear" w:pos="408"/>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руководителем производства.  Все инсектицидные лампы должны быть оборудованы подставками, куда будут падать насекомые.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3"/>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самостоятельно в санитарные часы чистит поддоны от мертвых насекомых или заменяет липкие площадки экранов с налипшими насекомыми на новые.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Исполнитель проводит мониторинг инсектицидных ламп, два раза в месяц в сроки по согласованию с заказчиком , в отчетной документации отражает результаты мониторинга</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FFFFFF" w:val="clear"/>
          <w:lang w:val="ru-RU" w:eastAsia="ru-RU" w:bidi="ar-SA"/>
        </w:rPr>
        <w:t xml:space="preserve">3.6. В целях мониторинга и отлова ползающих насекомых внутри строений используются инсектомониторы - ловушки с клейкой ловчей поверхностью или инсектогелем, которые размещаются в плоских контейнерах в местах наибольшего скопления членистоногих. </w:t>
      </w:r>
    </w:p>
    <w:p>
      <w:pPr>
        <w:pStyle w:val="Style23"/>
        <w:widowControl w:val="false"/>
        <w:numPr>
          <w:ilvl w:val="0"/>
          <w:numId w:val="0"/>
        </w:numPr>
        <w:shd w:val="clear" w:fill="FFFFFF"/>
        <w:tabs>
          <w:tab w:val="clear" w:pos="408"/>
          <w:tab w:val="left" w:pos="640" w:leader="none"/>
        </w:tabs>
        <w:suppressAutoHyphens w:val="false"/>
        <w:bidi w:val="0"/>
        <w:spacing w:lineRule="auto" w:line="240" w:before="0" w:after="0"/>
        <w:ind w:left="0" w:right="0" w:hanging="0"/>
        <w:jc w:val="both"/>
        <w:textAlignment w:val="auto"/>
        <w:rPr/>
      </w:pPr>
      <w:r>
        <w:rPr>
          <w:rStyle w:val="21"/>
          <w:rFonts w:eastAsia="Times New Roman" w:cs="Liberation Serif;Times New Roman" w:ascii="Liberation Serif" w:hAnsi="Liberation Serif"/>
          <w:b w:val="false"/>
          <w:bCs w:val="false"/>
          <w:color w:val="000000"/>
          <w:sz w:val="24"/>
          <w:szCs w:val="24"/>
          <w:shd w:fill="FFFFFF" w:val="clear"/>
          <w:lang w:val="ru-RU" w:eastAsia="ru-RU" w:bidi="ar-SA"/>
        </w:rPr>
        <w:t>При этом ловушки не должны находиться в местах, где возможно их попадание в продукцию и в упаковочные материалы. В местах потенциальной возможности проникновения насекомых извне (возле ворот, дверей, плохо герметизированных коммуникационных выходов) и во всех зонах возможной активности насекомых непосредственно внутри предприятия (на складах приемки сырья и хранения готовой продукции), в критических опасных точках (в местах возможного запыления, просыпания или розлива сырья и продукции), на участках, где присутствует влага и хранятся пищевые отходы</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FFFFFF" w:val="clear"/>
          <w:lang w:val="ru-RU" w:eastAsia="ru-RU" w:bidi="ar-SA"/>
        </w:rPr>
        <w:t>Оценка эффективности дезинсекции ползающих насекомых ежемесячно</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color w:val="000000"/>
          <w:sz w:val="24"/>
          <w:szCs w:val="24"/>
          <w:shd w:fill="FFFFFF" w:val="clear"/>
          <w:lang w:val="ru-RU" w:eastAsia="ru-RU" w:bidi="ar-SA"/>
        </w:rPr>
        <w:t>визуальный осмотр мест возможного нахождения насекомых, с применением средств, провоцирующих их выход из укрытий (обнаружение парализованных, погибших членистоногих; отлов на липкие ловушки и пр.)</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shd w:fill="FFFFFF" w:val="clear"/>
          <w:lang w:val="ru-RU" w:eastAsia="ru-RU" w:bidi="ar-SA"/>
        </w:rPr>
        <w:t>опрос персонала структурного подразделения</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lang w:val="ru-RU" w:eastAsia="ru-RU" w:bidi="ar-SA"/>
        </w:rPr>
        <w:t>внесение записей по результатам оценки эффективности дезинсекции в отчетность.</w:t>
      </w:r>
      <w:r>
        <w:br w:type="page"/>
      </w:r>
    </w:p>
    <w:p>
      <w:pPr>
        <w:pStyle w:val="1"/>
        <w:widowControl w:val="false"/>
        <w:numPr>
          <w:ilvl w:val="0"/>
          <w:numId w:val="0"/>
        </w:numPr>
        <w:shd w:val="clear" w:fill="FFFFFF"/>
        <w:tabs>
          <w:tab w:val="clear" w:pos="408"/>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13" w:name="__RefHeading___Toc6489_938880112"/>
      <w:bookmarkEnd w:id="13"/>
      <w:r>
        <w:rPr>
          <w:rFonts w:eastAsia="Liberation Serif;Times New Roman" w:cs="Liberation Serif;Times New Roman" w:ascii="Liberation Serif" w:hAnsi="Liberation Serif"/>
          <w:b/>
          <w:bCs/>
          <w:sz w:val="24"/>
          <w:szCs w:val="24"/>
        </w:rPr>
        <w:t>Мониторинг контроля численности</w:t>
      </w:r>
      <w:r>
        <w:rPr>
          <w:rFonts w:cs="Liberation Serif;Times New Roman" w:ascii="Liberation Serif" w:hAnsi="Liberation Serif"/>
          <w:b/>
          <w:bCs/>
          <w:sz w:val="24"/>
          <w:szCs w:val="24"/>
        </w:rPr>
        <w:t xml:space="preserve"> птиц и бродячих животных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Заказчик каждый месяц осматривать здания, помещения и территорию на наличие птиц и следов их жизнедеятельности (гнезда и пр.).</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Обнаруженные животные должны быть удалены. Территория должна быть облагорожена, все </w:t>
      </w:r>
      <w:r>
        <w:rPr>
          <w:rFonts w:cs="Liberation Serif;Times New Roman" w:ascii="Liberation Serif" w:hAnsi="Liberation Serif"/>
          <w:sz w:val="24"/>
          <w:szCs w:val="24"/>
          <w:shd w:fill="auto" w:val="clear"/>
        </w:rPr>
        <w:t>возможные места обитания диких животных должны быть устранены.</w:t>
      </w:r>
    </w:p>
    <w:p>
      <w:pPr>
        <w:pStyle w:val="Style23"/>
        <w:numPr>
          <w:ilvl w:val="0"/>
          <w:numId w:val="3"/>
        </w:numPr>
        <w:spacing w:lineRule="auto" w:line="240" w:before="0" w:after="0"/>
        <w:ind w:left="0" w:right="0" w:firstLine="567"/>
        <w:rPr>
          <w:shd w:fill="auto" w:val="clear"/>
        </w:rPr>
      </w:pPr>
      <w:r>
        <w:rPr>
          <w:rFonts w:cs="Liberation Serif;Times New Roman" w:ascii="Liberation Serif" w:hAnsi="Liberation Serif"/>
          <w:b w:val="false"/>
          <w:bCs w:val="false"/>
          <w:sz w:val="24"/>
          <w:szCs w:val="24"/>
          <w:shd w:fill="auto" w:val="clear"/>
          <w:lang w:val="ru-RU"/>
        </w:rPr>
        <w:t xml:space="preserve">4.7. Выявление нецелевых видов животных, путей их проникновения, мест обитания и питания на </w:t>
      </w:r>
      <w:r>
        <w:rPr>
          <w:rFonts w:cs="Liberation Serif;Times New Roman" w:ascii="Liberation Serif" w:hAnsi="Liberation Serif"/>
          <w:sz w:val="24"/>
          <w:szCs w:val="24"/>
          <w:shd w:fill="auto" w:val="clear"/>
        </w:rPr>
        <w:t>предприятиях, выдача рекомендаций по их недопущению на территорию и в строения, входит в компетенцию службы пест – контроля, которая предоставляет акт обследования и рекомендации один раз в квартал.</w:t>
      </w:r>
    </w:p>
    <w:p>
      <w:pPr>
        <w:pStyle w:val="Style23"/>
        <w:numPr>
          <w:ilvl w:val="0"/>
          <w:numId w:val="3"/>
        </w:numPr>
        <w:spacing w:lineRule="auto" w:line="240" w:before="0" w:after="0"/>
        <w:ind w:left="0" w:right="0" w:firstLine="567"/>
        <w:rPr>
          <w:shd w:fill="auto" w:val="clear"/>
        </w:rPr>
      </w:pPr>
      <w:r>
        <w:rPr>
          <w:rFonts w:cs="Liberation Serif;Times New Roman" w:ascii="Liberation Serif" w:hAnsi="Liberation Serif"/>
          <w:b/>
          <w:bCs/>
          <w:sz w:val="24"/>
          <w:szCs w:val="24"/>
          <w:shd w:fill="auto" w:val="clear"/>
        </w:rPr>
        <w:t>Подрядная организация, предоставляет рекомендации по выявлению и недопущению на территорию предприятия нецелевых вредителей.</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4" w:name="__RefHeading___Toc6491_938880112"/>
      <w:bookmarkEnd w:id="14"/>
      <w:r>
        <w:rPr>
          <w:rFonts w:cs="Liberation Serif;Times New Roman" w:ascii="Liberation Serif" w:hAnsi="Liberation Serif"/>
          <w:b/>
          <w:bCs/>
          <w:sz w:val="24"/>
          <w:szCs w:val="24"/>
        </w:rPr>
        <w:t>Пищевая безопасность контроль расхода пестицидов</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2 контура защиты вредителей: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контур- периметр здания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контур периметр помещений</w:t>
      </w:r>
    </w:p>
    <w:p>
      <w:pPr>
        <w:pStyle w:val="Style23"/>
        <w:spacing w:lineRule="auto" w:line="240" w:before="0" w:after="0"/>
        <w:ind w:left="0" w:right="0" w:firstLine="567"/>
        <w:jc w:val="both"/>
        <w:rPr/>
      </w:pPr>
      <w:r>
        <w:rPr>
          <w:rFonts w:eastAsia="Liberation Serif;Times New Roman" w:cs="Liberation Serif;Times New Roman" w:ascii="Liberation Serif;Times New Roman" w:hAnsi="Liberation Serif;Times New Roman"/>
          <w:sz w:val="24"/>
          <w:szCs w:val="24"/>
        </w:rPr>
        <w:t xml:space="preserve"> </w:t>
      </w:r>
      <w:r>
        <w:rPr>
          <w:rFonts w:cs="Liberation Serif;Times New Roman" w:ascii="Liberation Serif;Times New Roman" w:hAnsi="Liberation Serif;Times New Roman"/>
          <w:sz w:val="24"/>
          <w:szCs w:val="24"/>
        </w:rPr>
        <w:t>В пищевых объектах на 3-м контуре защиты — обработки проводятся клеевой поверхностью, из расчета 0,002 кг на 1 киу</w:t>
      </w:r>
    </w:p>
    <w:p>
      <w:pPr>
        <w:pStyle w:val="Style23"/>
        <w:spacing w:lineRule="auto" w:line="240" w:before="0" w:after="0"/>
        <w:ind w:left="0" w:right="0" w:firstLine="567"/>
        <w:jc w:val="both"/>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В не пищевых объектах на 2-м контуре защиты обработки проводятся брикетом, из расчета 3-5шт брикета от крыс  и 1-2шт от мышей согласно инструкции</w:t>
      </w:r>
    </w:p>
    <w:p>
      <w:pPr>
        <w:pStyle w:val="Style23"/>
        <w:spacing w:lineRule="auto" w:line="240" w:before="0" w:after="0"/>
        <w:ind w:left="0" w:right="0" w:firstLine="567"/>
        <w:jc w:val="both"/>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Вес одного брикета составляет 10гр согласно паспорта пестицида. Расстояние между точками раскладки приманки 2-15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3"/>
        <w:spacing w:lineRule="auto" w:line="240" w:before="0" w:after="0"/>
        <w:ind w:left="0" w:right="0" w:firstLine="567"/>
        <w:jc w:val="both"/>
        <w:rPr>
          <w:rFonts w:ascii="Liberation Serif" w:hAnsi="Liberation Serif"/>
          <w:sz w:val="24"/>
          <w:szCs w:val="24"/>
        </w:rPr>
      </w:pPr>
      <w:r>
        <w:rPr>
          <w:rFonts w:eastAsia="Liberation Serif;Times New Roman" w:cs="Liberation Serif;Times New Roman" w:ascii="Liberation Serif;Times New Roman" w:hAnsi="Liberation Serif;Times New Roman"/>
          <w:b w:val="false"/>
          <w:bCs w:val="false"/>
          <w:sz w:val="24"/>
          <w:szCs w:val="24"/>
        </w:rPr>
        <w:t xml:space="preserve"> </w:t>
      </w:r>
      <w:r>
        <w:rPr>
          <w:rFonts w:cs="Liberation Serif;Times New Roman" w:ascii="Liberation Serif;Times New Roman" w:hAnsi="Liberation Serif;Times New Roman"/>
          <w:b w:val="false"/>
          <w:bCs w:val="false"/>
          <w:sz w:val="24"/>
          <w:szCs w:val="24"/>
        </w:rPr>
        <w:t>Разложенную приманку осматривают согласно графику посещений, восполняя ее до исходного или вдвое большего объема.  На участках производства - “мокрые точки” устанавливают живоловки</w:t>
      </w:r>
      <w:r>
        <w:br w:type="page"/>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sz w:val="24"/>
          <w:szCs w:val="24"/>
        </w:rPr>
      </w:pPr>
      <w:bookmarkStart w:id="15" w:name="__RefHeading___Toc6485_938880112"/>
      <w:bookmarkEnd w:id="15"/>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3"/>
        <w:spacing w:lineRule="auto" w:line="240" w:before="0" w:after="0"/>
        <w:rPr/>
      </w:pPr>
      <w:r>
        <w:rPr>
          <w:rStyle w:val="21"/>
          <w:rFonts w:cs="Liberation Serif;Times New Roman" w:ascii="Liberation Serif" w:hAnsi="Liberation Serif"/>
          <w:sz w:val="24"/>
          <w:szCs w:val="24"/>
          <w:lang w:val="ru-RU"/>
        </w:rPr>
        <w:t xml:space="preserve">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Проведение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clear" w:pos="408"/>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5.10.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3"/>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3"/>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3"/>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3"/>
        <w:spacing w:lineRule="auto" w:line="240" w:before="0" w:after="0"/>
        <w:rPr/>
      </w:pPr>
      <w:r>
        <w:rPr>
          <w:rStyle w:val="21"/>
          <w:rFonts w:eastAsia="Times New Roman" w:cs="Liberation Serif;Times New Roman" w:ascii="Liberation Serif" w:hAnsi="Liberation Serif"/>
          <w:color w:val="00000A"/>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3"/>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3"/>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3"/>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3"/>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3"/>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3"/>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3"/>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3"/>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3"/>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3"/>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3"/>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6" w:name="__RefHeading___Toc6468_938880112"/>
      <w:bookmarkEnd w:id="16"/>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мешочки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7" w:name="__RefHeading___Toc2657_938880112"/>
      <w:bookmarkEnd w:id="17"/>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397" w:right="0" w:hanging="0"/>
        <w:jc w:val="both"/>
        <w:textAlignment w:val="baseline"/>
        <w:rPr/>
      </w:pPr>
      <w:r>
        <w:rPr>
          <w:rFonts w:ascii="Liberation Serif" w:hAnsi="Liberation Serif"/>
          <w:sz w:val="24"/>
          <w:szCs w:val="24"/>
          <w:shd w:fill="FFFFFF" w:val="clear"/>
        </w:rPr>
        <w:t>Руденко Владимир Николаевич</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Свидетельство 33241816 61207 от 27.05.19г Дезинфектор 2 разряда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Удостоверение 283100490701 П-13545  по программе «Обучение по оказанию первой помощи пострадавшим на производстве» 17.12.2019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0" w:right="0" w:firstLine="340"/>
        <w:jc w:val="both"/>
        <w:textAlignment w:val="baseline"/>
        <w:rPr>
          <w:rFonts w:ascii="Liberation Serif" w:hAnsi="Liberation Serif"/>
          <w:sz w:val="24"/>
          <w:szCs w:val="24"/>
        </w:rPr>
      </w:pPr>
      <w:r>
        <w:rPr>
          <w:rFonts w:ascii="Liberation Serif" w:hAnsi="Liberation Serif"/>
          <w:sz w:val="24"/>
          <w:szCs w:val="24"/>
          <w:shd w:fill="FFFFFF"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Свидетельство 33241816 61205 от 27.05.19г Дезинфектор 2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Заключение предварительного медицинского осмотра от 16.04.2021</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Заключение предварительного медицинского осмотра от 16.04.21г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rPr>
      </w:pPr>
      <w:r>
        <w:rPr>
          <w:rFonts w:ascii="Liberation Serif" w:hAnsi="Liberation Serif"/>
          <w:sz w:val="24"/>
          <w:szCs w:val="24"/>
          <w:shd w:fill="FFFFFF"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shd w:fill="FFFFFF" w:val="clear"/>
        </w:rPr>
        <w:t xml:space="preserve">Супрунова Юлия Вадимовна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Сертификат обучения №FSK.RU.EXP.000013046/1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highlight w:val="yellow"/>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rPr>
      </w:pPr>
      <w:r>
        <w:rPr>
          <w:rFonts w:ascii="Liberation Serif" w:hAnsi="Liberation Serif"/>
          <w:sz w:val="24"/>
          <w:szCs w:val="24"/>
        </w:rPr>
      </w:r>
    </w:p>
    <w:p>
      <w:pPr>
        <w:pStyle w:val="Style23"/>
        <w:spacing w:lineRule="auto" w:line="240" w:before="0" w:after="0"/>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w:t>
    </w:r>
    <w:r>
      <w:rPr/>
      <w:fldChar w:fldCharType="end"/>
    </w:r>
    <w:r>
      <w:rPr>
        <w:rStyle w:val="21"/>
        <w:color w:val="FF0000"/>
        <w:sz w:val="20"/>
      </w:rPr>
      <w:t xml:space="preserve"> из </w:t>
    </w:r>
    <w:r>
      <w:rPr/>
      <w:fldChar w:fldCharType="begin"/>
    </w:r>
    <w:r>
      <w:rPr/>
      <w:instrText> NUMPAGES </w:instrText>
    </w:r>
    <w:r>
      <w:rPr/>
      <w:fldChar w:fldCharType="separate"/>
    </w:r>
    <w:r>
      <w:rPr/>
      <w:t>19</w:t>
    </w:r>
    <w:r>
      <w:rPr/>
      <w:fldChar w:fldCharType="end"/>
    </w:r>
  </w:p>
  <w:p>
    <w:pPr>
      <w:pStyle w:val="Style28"/>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18</w:t>
    </w:r>
    <w:r>
      <w:rPr/>
      <w:fldChar w:fldCharType="end"/>
    </w:r>
    <w:r>
      <w:rPr>
        <w:rStyle w:val="21"/>
        <w:color w:val="FF0000"/>
        <w:sz w:val="20"/>
      </w:rPr>
      <w:t xml:space="preserve"> из </w:t>
    </w:r>
    <w:r>
      <w:rPr/>
      <w:fldChar w:fldCharType="begin"/>
    </w:r>
    <w:r>
      <w:rPr/>
      <w:instrText> NUMPAGES </w:instrText>
    </w:r>
    <w:r>
      <w:rPr/>
      <w:fldChar w:fldCharType="separate"/>
    </w:r>
    <w:r>
      <w:rPr/>
      <w:t>19</w:t>
    </w:r>
    <w:r>
      <w:rPr/>
      <w:fldChar w:fldCharType="end"/>
    </w:r>
  </w:p>
  <w:p>
    <w:pPr>
      <w:pStyle w:val="Style28"/>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right"/>
      <w:rPr>
        <w:color w:val="FF0000"/>
        <w:sz w:val="20"/>
      </w:rPr>
    </w:pPr>
    <w:r>
      <w:rPr/>
      <w:drawing>
        <wp:inline distT="0" distB="0" distL="0" distR="0">
          <wp:extent cx="1097915" cy="252095"/>
          <wp:effectExtent l="0" t="0" r="0" b="0"/>
          <wp:docPr id="5"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игура1" descr=""/>
                  <pic:cNvPicPr>
                    <a:picLocks noChangeAspect="1" noChangeArrowheads="1"/>
                  </pic:cNvPicPr>
                </pic:nvPicPr>
                <pic:blipFill>
                  <a:blip r:embed="rId1"/>
                  <a:stretch>
                    <a:fillRect/>
                  </a:stretch>
                </pic:blipFill>
                <pic:spPr bwMode="auto">
                  <a:xfrm>
                    <a:off x="0" y="0"/>
                    <a:ext cx="1097915" cy="252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sz w:val="24"/>
        <w:b/>
        <w:rFonts w:ascii="Liberation Serif" w:hAnsi="Liberation Serif"/>
        <w:lang w:bidi="ru-RU"/>
      </w:r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8"/>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4"/>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sz w:val="21"/>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2"/>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paragraph" w:styleId="Style22">
    <w:name w:val="Заголовок"/>
    <w:basedOn w:val="Normal"/>
    <w:next w:val="Style23"/>
    <w:qFormat/>
    <w:pPr>
      <w:keepNext w:val="true"/>
      <w:suppressAutoHyphens w:val="false"/>
      <w:spacing w:before="240" w:after="120"/>
    </w:pPr>
    <w:rPr>
      <w:rFonts w:eastAsia="DejaVu Sans" w:cs="Lohit Hindi"/>
      <w:sz w:val="28"/>
      <w:szCs w:val="28"/>
    </w:rPr>
  </w:style>
  <w:style w:type="paragraph" w:styleId="Style23">
    <w:name w:val="Body Text"/>
    <w:basedOn w:val="Normal"/>
    <w:pPr>
      <w:suppressAutoHyphens w:val="false"/>
      <w:spacing w:before="0" w:after="120"/>
    </w:pPr>
    <w:rPr>
      <w:rFonts w:ascii="Times New Roman" w:hAnsi="Times New Roman" w:cs="Times New Roman"/>
      <w:szCs w:val="20"/>
    </w:rPr>
  </w:style>
  <w:style w:type="paragraph" w:styleId="Style24">
    <w:name w:val="List"/>
    <w:basedOn w:val="Style23"/>
    <w:pPr>
      <w:suppressAutoHyphens w:val="false"/>
    </w:pPr>
    <w:rPr>
      <w:rFonts w:cs="Lohit Hind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fals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6"/>
    <w:next w:val="Normal"/>
    <w:pPr>
      <w:widowControl w:val="false"/>
      <w:suppressLineNumbers/>
      <w:suppressAutoHyphens w:val="true"/>
      <w:overflowPunct w:val="fals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7">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8">
    <w:name w:val="Footer"/>
    <w:basedOn w:val="15"/>
    <w:pPr>
      <w:tabs>
        <w:tab w:val="clear" w:pos="408"/>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29">
    <w:name w:val="Header"/>
    <w:basedOn w:val="15"/>
    <w:pPr>
      <w:tabs>
        <w:tab w:val="clear" w:pos="408"/>
        <w:tab w:val="center" w:pos="4677" w:leader="none"/>
        <w:tab w:val="right" w:pos="9355" w:leader="none"/>
      </w:tabs>
      <w:suppressAutoHyphens w:val="true"/>
    </w:pPr>
    <w:rPr>
      <w:rFonts w:cs="Mangal"/>
      <w:szCs w:val="21"/>
    </w:rPr>
  </w:style>
  <w:style w:type="paragraph" w:styleId="Style30">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1">
    <w:name w:val="Абзац списка"/>
    <w:basedOn w:val="Normal"/>
    <w:qFormat/>
    <w:pPr>
      <w:tabs>
        <w:tab w:val="clear" w:pos="408"/>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2">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fals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3">
    <w:name w:val="Без интервала"/>
    <w:qFormat/>
    <w:pPr>
      <w:widowControl/>
      <w:suppressAutoHyphens w:val="tru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fals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4">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5">
    <w:name w:val="Содержимое врезки"/>
    <w:basedOn w:val="Style23"/>
    <w:qFormat/>
    <w:pPr>
      <w:suppressAutoHyphens w:val="false"/>
    </w:pPr>
    <w:rPr/>
  </w:style>
  <w:style w:type="paragraph" w:styleId="Style36">
    <w:name w:val="Содержимое таблицы"/>
    <w:basedOn w:val="Normal"/>
    <w:qFormat/>
    <w:pPr>
      <w:suppressLineNumbers/>
      <w:suppressAutoHyphens w:val="false"/>
    </w:pPr>
    <w:rPr/>
  </w:style>
  <w:style w:type="paragraph" w:styleId="Style37">
    <w:name w:val="Заголовок таблицы"/>
    <w:basedOn w:val="Style36"/>
    <w:qFormat/>
    <w:pPr>
      <w:suppressAutoHyphens w:val="false"/>
      <w:jc w:val="center"/>
    </w:pPr>
    <w:rPr>
      <w:b/>
      <w:bCs/>
    </w:rPr>
  </w:style>
  <w:style w:type="paragraph" w:styleId="Style38">
    <w:name w:val="Index Heading"/>
    <w:basedOn w:val="Style22"/>
    <w:pPr>
      <w:suppressLineNumbers/>
      <w:ind w:left="0" w:right="0" w:hanging="0"/>
    </w:pPr>
    <w:rPr>
      <w:b/>
      <w:bCs/>
      <w:sz w:val="32"/>
      <w:szCs w:val="32"/>
    </w:rPr>
  </w:style>
  <w:style w:type="paragraph" w:styleId="Style39">
    <w:name w:val="Заголовок таблицы ссылок"/>
    <w:basedOn w:val="Style38"/>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0">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361</TotalTime>
  <Application>LibreOffice/7.1.4.2$Linux_X86_64 LibreOffice_project/10$Build-2</Application>
  <AppVersion>15.0000</AppVersion>
  <Pages>19</Pages>
  <Words>5003</Words>
  <Characters>36574</Characters>
  <CharactersWithSpaces>41342</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2022-01-26T13:10:23Z</cp:lastPrinted>
  <dcterms:modified xsi:type="dcterms:W3CDTF">2022-04-18T21:12:28Z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